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3DBF97" w14:textId="77777777" w:rsidR="008A2195" w:rsidRDefault="004000F0">
      <w:pPr>
        <w:spacing w:afterLines="50" w:after="296" w:line="600" w:lineRule="exact"/>
        <w:jc w:val="center"/>
        <w:rPr>
          <w:rFonts w:ascii="Times New Roman" w:eastAsia="方正小标宋简体" w:hAnsi="Times New Roman" w:cs="Times New Roman"/>
          <w:sz w:val="44"/>
          <w:szCs w:val="44"/>
        </w:rPr>
      </w:pPr>
      <w:bookmarkStart w:id="0" w:name="_Hlk46321326"/>
      <w:r>
        <w:rPr>
          <w:rFonts w:ascii="Times New Roman" w:eastAsia="方正小标宋简体" w:hAnsi="Times New Roman" w:cs="Times New Roman" w:hint="eastAsia"/>
          <w:sz w:val="44"/>
          <w:szCs w:val="44"/>
        </w:rPr>
        <w:t>西青区教育局</w:t>
      </w:r>
      <w:bookmarkEnd w:id="0"/>
      <w:r>
        <w:rPr>
          <w:rFonts w:ascii="Times New Roman" w:eastAsia="方正小标宋简体" w:hAnsi="Times New Roman" w:cs="Times New Roman" w:hint="eastAsia"/>
          <w:sz w:val="44"/>
          <w:szCs w:val="44"/>
        </w:rPr>
        <w:t>校舍安全保障长效机制项目</w:t>
      </w:r>
    </w:p>
    <w:p w14:paraId="02EBE5DE" w14:textId="77777777" w:rsidR="008A2195" w:rsidRDefault="004000F0">
      <w:pPr>
        <w:spacing w:afterLines="100" w:after="592" w:line="60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绩效评价报告</w:t>
      </w:r>
    </w:p>
    <w:p w14:paraId="2EDE193E" w14:textId="39C8E565" w:rsidR="008A2195" w:rsidRDefault="004000F0">
      <w:pPr>
        <w:ind w:firstLineChars="200" w:firstLine="632"/>
        <w:rPr>
          <w:rFonts w:ascii="Times New Roman" w:hAnsi="Times New Roman" w:cs="Times New Roman"/>
          <w:szCs w:val="32"/>
        </w:rPr>
      </w:pPr>
      <w:bookmarkStart w:id="1" w:name="_Hlk46240116"/>
      <w:r>
        <w:rPr>
          <w:rFonts w:ascii="Times New Roman" w:hAnsi="Times New Roman" w:cs="Times New Roman" w:hint="eastAsia"/>
          <w:szCs w:val="32"/>
        </w:rPr>
        <w:t>根据《中共中央</w:t>
      </w:r>
      <w:r w:rsidR="007A5A2C">
        <w:rPr>
          <w:rFonts w:ascii="Times New Roman" w:hAnsi="Times New Roman" w:cs="Times New Roman" w:hint="eastAsia"/>
          <w:szCs w:val="32"/>
        </w:rPr>
        <w:t xml:space="preserve"> </w:t>
      </w:r>
      <w:r>
        <w:rPr>
          <w:rFonts w:ascii="Times New Roman" w:hAnsi="Times New Roman" w:cs="Times New Roman" w:hint="eastAsia"/>
          <w:szCs w:val="32"/>
        </w:rPr>
        <w:t>国务院关于全面实施预算绩效管理的意见》、《项目支出绩效评价管理办法》、</w:t>
      </w:r>
      <w:r w:rsidR="007A5A2C" w:rsidRPr="007A5A2C">
        <w:rPr>
          <w:rFonts w:ascii="Times New Roman" w:hAnsi="Times New Roman" w:cs="Times New Roman"/>
          <w:szCs w:val="32"/>
        </w:rPr>
        <w:t>《天津市</w:t>
      </w:r>
      <w:r w:rsidR="007A5A2C" w:rsidRPr="007A5A2C">
        <w:rPr>
          <w:rFonts w:ascii="Times New Roman" w:hAnsi="Times New Roman" w:cs="Times New Roman" w:hint="eastAsia"/>
          <w:szCs w:val="32"/>
        </w:rPr>
        <w:t>市级</w:t>
      </w:r>
      <w:r w:rsidR="007A5A2C" w:rsidRPr="007A5A2C">
        <w:rPr>
          <w:rFonts w:ascii="Times New Roman" w:hAnsi="Times New Roman" w:cs="Times New Roman"/>
          <w:szCs w:val="32"/>
        </w:rPr>
        <w:t>财政</w:t>
      </w:r>
      <w:r w:rsidR="007A5A2C" w:rsidRPr="007A5A2C">
        <w:rPr>
          <w:rFonts w:ascii="Times New Roman" w:hAnsi="Times New Roman" w:cs="Times New Roman" w:hint="eastAsia"/>
          <w:szCs w:val="32"/>
        </w:rPr>
        <w:t>项目</w:t>
      </w:r>
      <w:r w:rsidR="007A5A2C" w:rsidRPr="007A5A2C">
        <w:rPr>
          <w:rFonts w:ascii="Times New Roman" w:hAnsi="Times New Roman" w:cs="Times New Roman"/>
          <w:szCs w:val="32"/>
        </w:rPr>
        <w:t>支出绩效评价管理办法》</w:t>
      </w:r>
      <w:r>
        <w:rPr>
          <w:rFonts w:ascii="Times New Roman" w:hAnsi="Times New Roman" w:cs="Times New Roman" w:hint="eastAsia"/>
          <w:szCs w:val="32"/>
        </w:rPr>
        <w:t>等文件要求，我们</w:t>
      </w:r>
      <w:r>
        <w:rPr>
          <w:rFonts w:ascii="Times New Roman" w:hAnsi="Times New Roman" w:cs="Times New Roman"/>
          <w:szCs w:val="32"/>
        </w:rPr>
        <w:t>对</w:t>
      </w:r>
      <w:bookmarkEnd w:id="1"/>
      <w:r>
        <w:rPr>
          <w:rFonts w:ascii="Times New Roman" w:hAnsi="Times New Roman" w:cs="Times New Roman"/>
          <w:szCs w:val="32"/>
        </w:rPr>
        <w:t>西青区</w:t>
      </w:r>
      <w:r>
        <w:rPr>
          <w:rFonts w:ascii="Times New Roman" w:hAnsi="Times New Roman" w:cs="Times New Roman" w:hint="eastAsia"/>
          <w:szCs w:val="32"/>
        </w:rPr>
        <w:t>教育局校舍安全保障长效机制项目</w:t>
      </w:r>
      <w:r>
        <w:rPr>
          <w:rFonts w:ascii="Times New Roman" w:hAnsi="Times New Roman" w:cs="Times New Roman"/>
          <w:szCs w:val="32"/>
        </w:rPr>
        <w:t>进行</w:t>
      </w:r>
      <w:r w:rsidR="007A5A2C">
        <w:rPr>
          <w:rFonts w:ascii="Times New Roman" w:hAnsi="Times New Roman" w:cs="Times New Roman" w:hint="eastAsia"/>
          <w:szCs w:val="32"/>
        </w:rPr>
        <w:t>了</w:t>
      </w:r>
      <w:r>
        <w:rPr>
          <w:rFonts w:ascii="Times New Roman" w:hAnsi="Times New Roman" w:cs="Times New Roman"/>
          <w:szCs w:val="32"/>
        </w:rPr>
        <w:t>绩效评价。现将有关情况报告如下：</w:t>
      </w:r>
    </w:p>
    <w:p w14:paraId="197B1DB8" w14:textId="77777777" w:rsidR="008A2195" w:rsidRDefault="004000F0">
      <w:pPr>
        <w:pStyle w:val="af"/>
        <w:ind w:firstLine="632"/>
        <w:rPr>
          <w:rFonts w:ascii="Times New Roman" w:eastAsia="黑体" w:hAnsi="Times New Roman" w:cs="Times New Roman"/>
          <w:bCs/>
          <w:szCs w:val="32"/>
        </w:rPr>
      </w:pPr>
      <w:r>
        <w:rPr>
          <w:rFonts w:ascii="Times New Roman" w:eastAsia="黑体" w:hAnsi="Times New Roman" w:cs="Times New Roman"/>
          <w:bCs/>
          <w:szCs w:val="32"/>
        </w:rPr>
        <w:t>一、项目基本情况</w:t>
      </w:r>
    </w:p>
    <w:p w14:paraId="232FDD2F"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（一）</w:t>
      </w:r>
      <w:r>
        <w:rPr>
          <w:rFonts w:ascii="Times New Roman" w:eastAsia="楷体_GB2312" w:hAnsi="Times New Roman" w:cs="Times New Roman" w:hint="eastAsia"/>
          <w:bCs/>
          <w:szCs w:val="32"/>
        </w:rPr>
        <w:t>项目概况</w:t>
      </w:r>
    </w:p>
    <w:p w14:paraId="7E451688"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校舍安全直接关系师生生命安全，社会关注度高、影响面广。党中央、国务院历来高度重视校舍安全工作，新世纪以来，先后部署实施了一系列校舍建设工程，建立了农村义务教育中小学校舍维修改造长效机制，特别是从</w:t>
      </w:r>
      <w:r>
        <w:rPr>
          <w:rFonts w:ascii="Times New Roman" w:hAnsi="Times New Roman" w:cs="Times New Roman" w:hint="eastAsia"/>
          <w:szCs w:val="32"/>
        </w:rPr>
        <w:t>2009</w:t>
      </w:r>
      <w:r>
        <w:rPr>
          <w:rFonts w:ascii="Times New Roman" w:hAnsi="Times New Roman" w:cs="Times New Roman" w:hint="eastAsia"/>
          <w:szCs w:val="32"/>
        </w:rPr>
        <w:t>年起，部署实施了全国中小学校舍安全工程，在各级各类城乡中小学开展校舍抗震加固和提高综合防灾能力建设，校舍安全隐患大幅减少，安全状况进一步改善。但我国中小学的学生规模大、农村学校多、基础条件差，保障校舍安全是一项长期的艰巨任务。建立长效机制，为提高中小学校舍安全管理水平和防灾减灾能力提供制度保障，是坚持以人为本、落实国家防灾减灾总体部署的必然要求，是坚持教育优先发展、办好人民满意教育的重要内容。</w:t>
      </w:r>
    </w:p>
    <w:p w14:paraId="3B7E6408"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2013</w:t>
      </w:r>
      <w:r>
        <w:rPr>
          <w:rFonts w:ascii="Times New Roman" w:hAnsi="Times New Roman" w:cs="Times New Roman" w:hint="eastAsia"/>
          <w:szCs w:val="32"/>
        </w:rPr>
        <w:t>年</w:t>
      </w:r>
      <w:r>
        <w:rPr>
          <w:rFonts w:ascii="Times New Roman" w:hAnsi="Times New Roman" w:cs="Times New Roman" w:hint="eastAsia"/>
          <w:szCs w:val="32"/>
        </w:rPr>
        <w:t>11</w:t>
      </w:r>
      <w:r>
        <w:rPr>
          <w:rFonts w:ascii="Times New Roman" w:hAnsi="Times New Roman" w:cs="Times New Roman" w:hint="eastAsia"/>
          <w:szCs w:val="32"/>
        </w:rPr>
        <w:t>月，国务院办公厅转发教育部等部门关于建立中</w:t>
      </w:r>
      <w:r>
        <w:rPr>
          <w:rFonts w:ascii="Times New Roman" w:hAnsi="Times New Roman" w:cs="Times New Roman" w:hint="eastAsia"/>
          <w:szCs w:val="32"/>
        </w:rPr>
        <w:lastRenderedPageBreak/>
        <w:t>小学校</w:t>
      </w:r>
      <w:proofErr w:type="gramStart"/>
      <w:r>
        <w:rPr>
          <w:rFonts w:ascii="Times New Roman" w:hAnsi="Times New Roman" w:cs="Times New Roman" w:hint="eastAsia"/>
          <w:szCs w:val="32"/>
        </w:rPr>
        <w:t>舍安全</w:t>
      </w:r>
      <w:proofErr w:type="gramEnd"/>
      <w:r>
        <w:rPr>
          <w:rFonts w:ascii="Times New Roman" w:hAnsi="Times New Roman" w:cs="Times New Roman" w:hint="eastAsia"/>
          <w:szCs w:val="32"/>
        </w:rPr>
        <w:t>保障长效机制意见的通知《关于建立中小学校舍安全保障长效机制的意见》（国办发〔</w:t>
      </w:r>
      <w:r>
        <w:rPr>
          <w:rFonts w:ascii="Times New Roman" w:hAnsi="Times New Roman" w:cs="Times New Roman" w:hint="eastAsia"/>
          <w:szCs w:val="32"/>
        </w:rPr>
        <w:t>2013</w:t>
      </w:r>
      <w:r>
        <w:rPr>
          <w:rFonts w:ascii="Times New Roman" w:hAnsi="Times New Roman" w:cs="Times New Roman" w:hint="eastAsia"/>
          <w:szCs w:val="32"/>
        </w:rPr>
        <w:t>〕</w:t>
      </w:r>
      <w:r>
        <w:rPr>
          <w:rFonts w:ascii="Times New Roman" w:hAnsi="Times New Roman" w:cs="Times New Roman" w:hint="eastAsia"/>
          <w:szCs w:val="32"/>
        </w:rPr>
        <w:t>103</w:t>
      </w:r>
      <w:r>
        <w:rPr>
          <w:rFonts w:ascii="Times New Roman" w:hAnsi="Times New Roman" w:cs="Times New Roman" w:hint="eastAsia"/>
          <w:szCs w:val="32"/>
        </w:rPr>
        <w:t>号），其中明确提出“各级政府要将保障中小学校舍安全资金纳入财政预算，统筹各类校舍建设项目，加大对经济落后地区的支持力度。保障农村义务教育阶段中小学校舍安全资金由中央和地方共同承担。省级政府负责统筹落实地方资金，制定省、市、县三级政府具体分担办法。”</w:t>
      </w:r>
      <w:r>
        <w:rPr>
          <w:rFonts w:ascii="Times New Roman" w:hAnsi="Times New Roman" w:cs="Times New Roman" w:hint="eastAsia"/>
          <w:szCs w:val="32"/>
        </w:rPr>
        <w:t>2015</w:t>
      </w:r>
      <w:r>
        <w:rPr>
          <w:rFonts w:ascii="Times New Roman" w:hAnsi="Times New Roman" w:cs="Times New Roman" w:hint="eastAsia"/>
          <w:szCs w:val="32"/>
        </w:rPr>
        <w:t>年，天津市发布《市教委等十六部门关于印发建立健全天津市中小学校和幼儿园校舍安全保障长效机制的意见的通知》（津教委〔</w:t>
      </w:r>
      <w:r>
        <w:rPr>
          <w:rFonts w:ascii="Times New Roman" w:hAnsi="Times New Roman" w:cs="Times New Roman" w:hint="eastAsia"/>
          <w:szCs w:val="32"/>
        </w:rPr>
        <w:t>2015</w:t>
      </w:r>
      <w:r>
        <w:rPr>
          <w:rFonts w:ascii="Times New Roman" w:hAnsi="Times New Roman" w:cs="Times New Roman" w:hint="eastAsia"/>
          <w:szCs w:val="32"/>
        </w:rPr>
        <w:t>〕</w:t>
      </w:r>
      <w:r>
        <w:rPr>
          <w:rFonts w:ascii="Times New Roman" w:hAnsi="Times New Roman" w:cs="Times New Roman" w:hint="eastAsia"/>
          <w:szCs w:val="32"/>
        </w:rPr>
        <w:t>12</w:t>
      </w:r>
      <w:r>
        <w:rPr>
          <w:rFonts w:ascii="Times New Roman" w:hAnsi="Times New Roman" w:cs="Times New Roman" w:hint="eastAsia"/>
          <w:szCs w:val="32"/>
        </w:rPr>
        <w:t>号），明确规定“各区县政府要将保障学校校舍安全资金纳入财政预算，统筹各类校舍建设项目，使用好本区县自有资金，以及市对区县财政教育一般性转移支付资金，义务教育经费保障机制改革资金，做好本地区中小学校、幼儿园校舍安全保障工作，并向基础薄弱的地区和学校倾斜。”此次西青区教育局</w:t>
      </w:r>
      <w:r>
        <w:rPr>
          <w:rFonts w:ascii="Times New Roman" w:hAnsi="Times New Roman" w:cs="Times New Roman" w:hint="eastAsia"/>
          <w:szCs w:val="32"/>
        </w:rPr>
        <w:t>2021</w:t>
      </w:r>
      <w:r>
        <w:rPr>
          <w:rFonts w:ascii="Times New Roman" w:hAnsi="Times New Roman" w:cs="Times New Roman" w:hint="eastAsia"/>
          <w:szCs w:val="32"/>
        </w:rPr>
        <w:t>年校舍安全保障长效机制项目就是按照上述规定执行。</w:t>
      </w:r>
    </w:p>
    <w:p w14:paraId="7AD04DDC"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2021</w:t>
      </w:r>
      <w:r>
        <w:rPr>
          <w:rFonts w:ascii="Times New Roman" w:hAnsi="Times New Roman" w:cs="Times New Roman" w:hint="eastAsia"/>
          <w:szCs w:val="32"/>
        </w:rPr>
        <w:t>年校舍安全保障长效机制项目预算调整后资金</w:t>
      </w:r>
      <w:r>
        <w:rPr>
          <w:rFonts w:ascii="Times New Roman" w:hAnsi="Times New Roman" w:cs="Times New Roman" w:hint="eastAsia"/>
          <w:szCs w:val="32"/>
        </w:rPr>
        <w:t>231.2</w:t>
      </w:r>
      <w:r>
        <w:rPr>
          <w:rFonts w:ascii="Times New Roman" w:hAnsi="Times New Roman" w:cs="Times New Roman" w:hint="eastAsia"/>
          <w:szCs w:val="32"/>
        </w:rPr>
        <w:t>万元，其中：中央直达资金</w:t>
      </w:r>
      <w:r>
        <w:rPr>
          <w:rFonts w:ascii="Times New Roman" w:hAnsi="Times New Roman" w:cs="Times New Roman" w:hint="eastAsia"/>
          <w:szCs w:val="32"/>
        </w:rPr>
        <w:t>31.2</w:t>
      </w:r>
      <w:r>
        <w:rPr>
          <w:rFonts w:ascii="Times New Roman" w:hAnsi="Times New Roman" w:cs="Times New Roman" w:hint="eastAsia"/>
          <w:szCs w:val="32"/>
        </w:rPr>
        <w:t>万元，区级财政匹配资金</w:t>
      </w:r>
      <w:r>
        <w:rPr>
          <w:rFonts w:ascii="Times New Roman" w:hAnsi="Times New Roman" w:cs="Times New Roman" w:hint="eastAsia"/>
          <w:szCs w:val="32"/>
        </w:rPr>
        <w:t>200</w:t>
      </w:r>
      <w:r>
        <w:rPr>
          <w:rFonts w:ascii="Times New Roman" w:hAnsi="Times New Roman" w:cs="Times New Roman" w:hint="eastAsia"/>
          <w:szCs w:val="32"/>
        </w:rPr>
        <w:t>万元。实际支出</w:t>
      </w:r>
      <w:r>
        <w:rPr>
          <w:rFonts w:ascii="Times New Roman" w:hAnsi="Times New Roman" w:cs="Times New Roman"/>
          <w:szCs w:val="32"/>
        </w:rPr>
        <w:t>102</w:t>
      </w:r>
      <w:r>
        <w:rPr>
          <w:rFonts w:ascii="Times New Roman" w:hAnsi="Times New Roman" w:cs="Times New Roman" w:hint="eastAsia"/>
          <w:szCs w:val="32"/>
        </w:rPr>
        <w:t>.</w:t>
      </w:r>
      <w:r>
        <w:rPr>
          <w:rFonts w:ascii="Times New Roman" w:hAnsi="Times New Roman" w:cs="Times New Roman"/>
          <w:szCs w:val="32"/>
        </w:rPr>
        <w:t>652</w:t>
      </w:r>
      <w:r>
        <w:rPr>
          <w:rFonts w:ascii="Times New Roman" w:hAnsi="Times New Roman" w:cs="Times New Roman" w:hint="eastAsia"/>
          <w:szCs w:val="32"/>
        </w:rPr>
        <w:t>万元，主要建设内容是对</w:t>
      </w:r>
      <w:proofErr w:type="gramStart"/>
      <w:r>
        <w:rPr>
          <w:rFonts w:ascii="Times New Roman" w:hAnsi="Times New Roman" w:cs="Times New Roman" w:hint="eastAsia"/>
          <w:szCs w:val="32"/>
        </w:rPr>
        <w:t>青凝侯小学</w:t>
      </w:r>
      <w:proofErr w:type="gramEnd"/>
      <w:r>
        <w:rPr>
          <w:rFonts w:ascii="Times New Roman" w:hAnsi="Times New Roman" w:cs="Times New Roman" w:hint="eastAsia"/>
          <w:szCs w:val="32"/>
        </w:rPr>
        <w:t>校舍及相关设施进行维修改造。</w:t>
      </w:r>
    </w:p>
    <w:p w14:paraId="2447F1A7"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w:t>
      </w:r>
      <w:r>
        <w:rPr>
          <w:rFonts w:ascii="Times New Roman" w:eastAsia="楷体_GB2312" w:hAnsi="Times New Roman" w:cs="Times New Roman" w:hint="eastAsia"/>
          <w:bCs/>
          <w:szCs w:val="32"/>
        </w:rPr>
        <w:t>二</w:t>
      </w:r>
      <w:r>
        <w:rPr>
          <w:rFonts w:ascii="Times New Roman" w:eastAsia="楷体_GB2312" w:hAnsi="Times New Roman" w:cs="Times New Roman"/>
          <w:bCs/>
          <w:szCs w:val="32"/>
        </w:rPr>
        <w:t>）</w:t>
      </w:r>
      <w:r>
        <w:rPr>
          <w:rFonts w:ascii="Times New Roman" w:eastAsia="楷体_GB2312" w:hAnsi="Times New Roman" w:cs="Times New Roman" w:hint="eastAsia"/>
          <w:bCs/>
          <w:szCs w:val="32"/>
        </w:rPr>
        <w:t>项目绩效目标</w:t>
      </w:r>
    </w:p>
    <w:p w14:paraId="770E498A" w14:textId="77777777" w:rsidR="008A2195" w:rsidRDefault="004000F0">
      <w:pPr>
        <w:ind w:firstLineChars="200" w:firstLine="632"/>
        <w:rPr>
          <w:rFonts w:ascii="Times New Roman" w:hAnsi="Times New Roman" w:cs="Times New Roman"/>
          <w:szCs w:val="32"/>
        </w:rPr>
      </w:pPr>
      <w:r>
        <w:rPr>
          <w:rFonts w:ascii="仿宋_GB2312" w:hAnsi="仿宋_GB2312" w:cs="仿宋_GB2312" w:hint="eastAsia"/>
          <w:szCs w:val="32"/>
        </w:rPr>
        <w:t>本项目的绩效目标为落实农村学校校舍安全保障长效机制，进一步改善办学条件，通过对校舍的修缮，延长房屋使用年限，</w:t>
      </w:r>
      <w:r>
        <w:rPr>
          <w:rFonts w:ascii="仿宋_GB2312" w:hAnsi="仿宋_GB2312" w:cs="仿宋_GB2312" w:hint="eastAsia"/>
          <w:szCs w:val="32"/>
        </w:rPr>
        <w:lastRenderedPageBreak/>
        <w:t>保障师生安全</w:t>
      </w:r>
      <w:r>
        <w:rPr>
          <w:rFonts w:ascii="Times New Roman" w:hAnsi="Times New Roman" w:cs="Times New Roman" w:hint="eastAsia"/>
          <w:szCs w:val="32"/>
        </w:rPr>
        <w:t>。</w:t>
      </w:r>
    </w:p>
    <w:p w14:paraId="7A2823F9" w14:textId="77777777" w:rsidR="008A2195" w:rsidRDefault="004000F0">
      <w:pPr>
        <w:ind w:firstLineChars="200" w:firstLine="632"/>
        <w:rPr>
          <w:rFonts w:ascii="Times New Roman" w:eastAsia="黑体" w:hAnsi="Times New Roman" w:cs="Times New Roman"/>
          <w:szCs w:val="32"/>
        </w:rPr>
      </w:pPr>
      <w:r>
        <w:rPr>
          <w:rFonts w:ascii="Times New Roman" w:eastAsia="黑体" w:hAnsi="Times New Roman" w:cs="Times New Roman" w:hint="eastAsia"/>
          <w:szCs w:val="32"/>
        </w:rPr>
        <w:t>二</w:t>
      </w:r>
      <w:r>
        <w:rPr>
          <w:rFonts w:ascii="Times New Roman" w:eastAsia="黑体" w:hAnsi="Times New Roman" w:cs="Times New Roman"/>
          <w:szCs w:val="32"/>
        </w:rPr>
        <w:t>、绩效评价工作</w:t>
      </w:r>
      <w:r>
        <w:rPr>
          <w:rFonts w:ascii="Times New Roman" w:eastAsia="黑体" w:hAnsi="Times New Roman" w:cs="Times New Roman" w:hint="eastAsia"/>
          <w:szCs w:val="32"/>
        </w:rPr>
        <w:t>开展</w:t>
      </w:r>
      <w:r>
        <w:rPr>
          <w:rFonts w:ascii="Times New Roman" w:eastAsia="黑体" w:hAnsi="Times New Roman" w:cs="Times New Roman"/>
          <w:szCs w:val="32"/>
        </w:rPr>
        <w:t>情况</w:t>
      </w:r>
    </w:p>
    <w:p w14:paraId="70F8F693"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（一）绩效评价目的</w:t>
      </w:r>
      <w:r>
        <w:rPr>
          <w:rFonts w:ascii="Times New Roman" w:eastAsia="楷体_GB2312" w:hAnsi="Times New Roman" w:cs="Times New Roman" w:hint="eastAsia"/>
          <w:bCs/>
          <w:szCs w:val="32"/>
        </w:rPr>
        <w:t>、对象和范围</w:t>
      </w:r>
    </w:p>
    <w:p w14:paraId="1A184DA1" w14:textId="77777777" w:rsidR="008A2195" w:rsidRDefault="004000F0">
      <w:pPr>
        <w:spacing w:line="588" w:lineRule="exact"/>
        <w:ind w:firstLineChars="200" w:firstLine="632"/>
        <w:rPr>
          <w:rFonts w:ascii="Times New Roman" w:hAnsi="Times New Roman" w:cs="Times New Roman"/>
          <w:szCs w:val="32"/>
        </w:rPr>
      </w:pPr>
      <w:r>
        <w:rPr>
          <w:rFonts w:ascii="Times New Roman" w:hAnsi="Times New Roman" w:cs="Times New Roman"/>
          <w:szCs w:val="32"/>
        </w:rPr>
        <w:t>绩效评价是以科学规范、公正公开、分级分类、绩效相关为原则，运用科学、合理的绩效评价指标、评价标准和评价方法，对财政支出的经济性、效率性和效益性进行客观、公正的评价。</w:t>
      </w:r>
    </w:p>
    <w:p w14:paraId="3166E671" w14:textId="77777777" w:rsidR="008A2195" w:rsidRDefault="004000F0">
      <w:pPr>
        <w:spacing w:line="588" w:lineRule="exact"/>
        <w:ind w:firstLineChars="200" w:firstLine="632"/>
        <w:rPr>
          <w:rFonts w:ascii="Times New Roman" w:eastAsia="仿宋" w:hAnsi="Times New Roman" w:cs="Times New Roman"/>
          <w:szCs w:val="32"/>
        </w:rPr>
      </w:pPr>
      <w:r>
        <w:rPr>
          <w:rFonts w:ascii="Times New Roman" w:hAnsi="Times New Roman" w:cs="Times New Roman" w:hint="eastAsia"/>
          <w:szCs w:val="32"/>
        </w:rPr>
        <w:t>从项目整体角度出发，了解西青区教育局校舍安全保障长效机制项目的完成情况，全面反映项目资金产出和结果的</w:t>
      </w:r>
      <w:r>
        <w:rPr>
          <w:rFonts w:ascii="Times New Roman" w:hAnsi="Times New Roman" w:cs="Times New Roman"/>
          <w:szCs w:val="32"/>
        </w:rPr>
        <w:t>经济性、</w:t>
      </w:r>
      <w:r>
        <w:rPr>
          <w:rFonts w:ascii="Times New Roman" w:hAnsi="Times New Roman" w:cs="Times New Roman" w:hint="eastAsia"/>
          <w:szCs w:val="32"/>
        </w:rPr>
        <w:t>效率性和效益性，从而为今后的校舍安全保障长效机制项目提供有益经验，以便提高财政资金配置效率和使用效益，</w:t>
      </w:r>
      <w:r>
        <w:rPr>
          <w:rFonts w:ascii="Times New Roman" w:hAnsi="Times New Roman" w:cs="Times New Roman"/>
          <w:szCs w:val="32"/>
        </w:rPr>
        <w:t>提升西青区财政资金科学化管理水平。</w:t>
      </w:r>
    </w:p>
    <w:p w14:paraId="53A3456E"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（二）绩效评价原则、评价指标体系、评价方法</w:t>
      </w:r>
    </w:p>
    <w:p w14:paraId="39AB78A2"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绩效评价原则</w:t>
      </w:r>
    </w:p>
    <w:p w14:paraId="023FB95E"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）科学规范原则。绩效评价应按照规范的程序、科学可行的要求，采用定量与定性分析相结合的方法实施。</w:t>
      </w:r>
    </w:p>
    <w:p w14:paraId="61B70ECF"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）公正公开原则。绩效评价应符合真实、客观、公平、公正的要求，依法公开并接受监督。</w:t>
      </w:r>
    </w:p>
    <w:p w14:paraId="46BFF5DD"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）分级分类原则。绩效评价由财政部门和各预算单位主管部门根据评价对象的特点分类组织实施。</w:t>
      </w:r>
    </w:p>
    <w:p w14:paraId="4D4807E2"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）绩效相关原则。绩效评价应针对具体支出及其产出效果进行，评价结果要清晰反映两者之间紧密对应关系。</w:t>
      </w:r>
    </w:p>
    <w:p w14:paraId="5F6358D1"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绩效评价指标体系</w:t>
      </w:r>
    </w:p>
    <w:p w14:paraId="01534377" w14:textId="77777777" w:rsidR="008A2195" w:rsidRDefault="004000F0">
      <w:pPr>
        <w:ind w:firstLineChars="200" w:firstLine="632"/>
        <w:rPr>
          <w:rFonts w:ascii="Times New Roman" w:hAnsi="Times New Roman" w:cs="Times New Roman"/>
          <w:szCs w:val="32"/>
        </w:rPr>
      </w:pPr>
      <w:bookmarkStart w:id="2" w:name="_Hlk46325563"/>
      <w:r>
        <w:rPr>
          <w:rFonts w:ascii="Times New Roman" w:hAnsi="Times New Roman" w:cs="Times New Roman"/>
          <w:szCs w:val="32"/>
        </w:rPr>
        <w:lastRenderedPageBreak/>
        <w:t>评价指标体系分为</w:t>
      </w:r>
      <w:r>
        <w:rPr>
          <w:rFonts w:ascii="Times New Roman" w:hAnsi="Times New Roman" w:cs="Times New Roman" w:hint="eastAsia"/>
          <w:szCs w:val="32"/>
        </w:rPr>
        <w:t>四</w:t>
      </w:r>
      <w:r>
        <w:rPr>
          <w:rFonts w:ascii="Times New Roman" w:hAnsi="Times New Roman" w:cs="Times New Roman"/>
          <w:szCs w:val="32"/>
        </w:rPr>
        <w:t>大部分，即决策、</w:t>
      </w:r>
      <w:r>
        <w:rPr>
          <w:rFonts w:ascii="Times New Roman" w:hAnsi="Times New Roman" w:cs="Times New Roman" w:hint="eastAsia"/>
          <w:szCs w:val="32"/>
        </w:rPr>
        <w:t>过程</w:t>
      </w:r>
      <w:r>
        <w:rPr>
          <w:rFonts w:ascii="Times New Roman" w:hAnsi="Times New Roman" w:cs="Times New Roman"/>
          <w:szCs w:val="32"/>
        </w:rPr>
        <w:t>、</w:t>
      </w:r>
      <w:r>
        <w:rPr>
          <w:rFonts w:ascii="Times New Roman" w:hAnsi="Times New Roman" w:cs="Times New Roman" w:hint="eastAsia"/>
          <w:szCs w:val="32"/>
        </w:rPr>
        <w:t>产出、效益</w:t>
      </w:r>
      <w:r>
        <w:rPr>
          <w:rFonts w:ascii="Times New Roman" w:hAnsi="Times New Roman" w:cs="Times New Roman"/>
          <w:szCs w:val="32"/>
        </w:rPr>
        <w:t>。这</w:t>
      </w:r>
      <w:r>
        <w:rPr>
          <w:rFonts w:ascii="Times New Roman" w:hAnsi="Times New Roman" w:cs="Times New Roman" w:hint="eastAsia"/>
          <w:szCs w:val="32"/>
        </w:rPr>
        <w:t>四</w:t>
      </w:r>
      <w:r>
        <w:rPr>
          <w:rFonts w:ascii="Times New Roman" w:hAnsi="Times New Roman" w:cs="Times New Roman"/>
          <w:szCs w:val="32"/>
        </w:rPr>
        <w:t>大部分反映了一个项目从项目决策、组织实施到产生效益的整个过程，采取百分制的计分方式。主要包括</w:t>
      </w:r>
      <w:r>
        <w:rPr>
          <w:rFonts w:ascii="Times New Roman" w:hAnsi="Times New Roman" w:cs="Times New Roman" w:hint="eastAsia"/>
          <w:szCs w:val="32"/>
        </w:rPr>
        <w:t>项目立项、绩效目标、资金投入、资金管理、组织实施、项目产出、项目效益</w:t>
      </w:r>
      <w:r>
        <w:rPr>
          <w:rFonts w:ascii="Times New Roman" w:hAnsi="Times New Roman" w:cs="Times New Roman"/>
          <w:szCs w:val="32"/>
        </w:rPr>
        <w:t>等情况。</w:t>
      </w:r>
      <w:r>
        <w:rPr>
          <w:rFonts w:ascii="Times New Roman" w:hAnsi="Times New Roman" w:cs="Times New Roman" w:hint="eastAsia"/>
          <w:szCs w:val="32"/>
        </w:rPr>
        <w:t>（本项目绩效评价体系详见附表）</w:t>
      </w:r>
    </w:p>
    <w:bookmarkEnd w:id="2"/>
    <w:p w14:paraId="724FD12B"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绩效评价方法</w:t>
      </w:r>
    </w:p>
    <w:p w14:paraId="7B184D83" w14:textId="4EA59283" w:rsidR="008A2195" w:rsidRDefault="004000F0">
      <w:pPr>
        <w:ind w:firstLineChars="200" w:firstLine="632"/>
        <w:rPr>
          <w:rFonts w:ascii="Times New Roman" w:hAnsi="Times New Roman" w:cs="Times New Roman"/>
          <w:szCs w:val="32"/>
        </w:rPr>
      </w:pPr>
      <w:r>
        <w:rPr>
          <w:rFonts w:ascii="Times New Roman" w:hAnsi="Times New Roman" w:cs="Times New Roman"/>
          <w:szCs w:val="32"/>
        </w:rPr>
        <w:t>根据</w:t>
      </w:r>
      <w:r>
        <w:rPr>
          <w:rFonts w:ascii="Times New Roman" w:hAnsi="Times New Roman" w:cs="Times New Roman" w:hint="eastAsia"/>
          <w:szCs w:val="32"/>
        </w:rPr>
        <w:t>《项目支出绩效评价管理办法》</w:t>
      </w:r>
      <w:r>
        <w:rPr>
          <w:rFonts w:ascii="Times New Roman" w:hAnsi="Times New Roman" w:cs="Times New Roman"/>
          <w:szCs w:val="32"/>
        </w:rPr>
        <w:t>、《</w:t>
      </w:r>
      <w:r w:rsidR="002E117A" w:rsidRPr="007A5A2C">
        <w:rPr>
          <w:rFonts w:ascii="Times New Roman" w:hAnsi="Times New Roman" w:cs="Times New Roman"/>
          <w:szCs w:val="32"/>
        </w:rPr>
        <w:t>天津市</w:t>
      </w:r>
      <w:r w:rsidR="002E117A" w:rsidRPr="007A5A2C">
        <w:rPr>
          <w:rFonts w:ascii="Times New Roman" w:hAnsi="Times New Roman" w:cs="Times New Roman" w:hint="eastAsia"/>
          <w:szCs w:val="32"/>
        </w:rPr>
        <w:t>市级</w:t>
      </w:r>
      <w:r w:rsidR="002E117A" w:rsidRPr="007A5A2C">
        <w:rPr>
          <w:rFonts w:ascii="Times New Roman" w:hAnsi="Times New Roman" w:cs="Times New Roman"/>
          <w:szCs w:val="32"/>
        </w:rPr>
        <w:t>财政</w:t>
      </w:r>
      <w:r w:rsidR="002E117A" w:rsidRPr="007A5A2C">
        <w:rPr>
          <w:rFonts w:ascii="Times New Roman" w:hAnsi="Times New Roman" w:cs="Times New Roman" w:hint="eastAsia"/>
          <w:szCs w:val="32"/>
        </w:rPr>
        <w:t>项目</w:t>
      </w:r>
      <w:r w:rsidR="002E117A" w:rsidRPr="007A5A2C">
        <w:rPr>
          <w:rFonts w:ascii="Times New Roman" w:hAnsi="Times New Roman" w:cs="Times New Roman"/>
          <w:szCs w:val="32"/>
        </w:rPr>
        <w:t>支出绩效评价管理办法</w:t>
      </w:r>
      <w:r>
        <w:rPr>
          <w:rFonts w:ascii="Times New Roman" w:hAnsi="Times New Roman" w:cs="Times New Roman"/>
          <w:szCs w:val="32"/>
        </w:rPr>
        <w:t>》，结合本项目特点，成立专门</w:t>
      </w:r>
      <w:r>
        <w:rPr>
          <w:rFonts w:ascii="Times New Roman" w:hAnsi="Times New Roman" w:cs="Times New Roman" w:hint="eastAsia"/>
          <w:szCs w:val="32"/>
        </w:rPr>
        <w:t>绩效评价工作组</w:t>
      </w:r>
      <w:r>
        <w:rPr>
          <w:rFonts w:ascii="Times New Roman" w:hAnsi="Times New Roman" w:cs="Times New Roman"/>
          <w:szCs w:val="32"/>
        </w:rPr>
        <w:t>进行评价体系的构建。</w:t>
      </w:r>
    </w:p>
    <w:p w14:paraId="6E629FBC"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评价工作遵循</w:t>
      </w:r>
      <w:r>
        <w:rPr>
          <w:rFonts w:ascii="Times New Roman" w:hAnsi="Times New Roman" w:cs="Times New Roman" w:hint="eastAsia"/>
          <w:szCs w:val="32"/>
        </w:rPr>
        <w:t>“</w:t>
      </w:r>
      <w:r>
        <w:rPr>
          <w:rFonts w:ascii="Times New Roman" w:hAnsi="Times New Roman" w:cs="Times New Roman"/>
          <w:szCs w:val="32"/>
        </w:rPr>
        <w:t>客观、公正、科学、规范</w:t>
      </w:r>
      <w:r>
        <w:rPr>
          <w:rFonts w:ascii="Times New Roman" w:hAnsi="Times New Roman" w:cs="Times New Roman" w:hint="eastAsia"/>
          <w:szCs w:val="32"/>
        </w:rPr>
        <w:t>”</w:t>
      </w:r>
      <w:r>
        <w:rPr>
          <w:rFonts w:ascii="Times New Roman" w:hAnsi="Times New Roman" w:cs="Times New Roman"/>
          <w:szCs w:val="32"/>
        </w:rPr>
        <w:t>的原则，采用</w:t>
      </w:r>
      <w:r>
        <w:rPr>
          <w:rFonts w:ascii="Times New Roman" w:hAnsi="Times New Roman" w:cs="Times New Roman" w:hint="eastAsia"/>
          <w:szCs w:val="32"/>
        </w:rPr>
        <w:t>“</w:t>
      </w:r>
      <w:r>
        <w:rPr>
          <w:rFonts w:ascii="Times New Roman" w:hAnsi="Times New Roman" w:cs="Times New Roman"/>
          <w:szCs w:val="32"/>
        </w:rPr>
        <w:t>以结果为导向、基于证据</w:t>
      </w:r>
      <w:r>
        <w:rPr>
          <w:rFonts w:ascii="Times New Roman" w:hAnsi="Times New Roman" w:cs="Times New Roman" w:hint="eastAsia"/>
          <w:szCs w:val="32"/>
        </w:rPr>
        <w:t>”</w:t>
      </w:r>
      <w:r>
        <w:rPr>
          <w:rFonts w:ascii="Times New Roman" w:hAnsi="Times New Roman" w:cs="Times New Roman"/>
          <w:szCs w:val="32"/>
        </w:rPr>
        <w:t>的绩效评价方法，主要从项目决策、</w:t>
      </w:r>
      <w:r>
        <w:rPr>
          <w:rFonts w:ascii="Times New Roman" w:hAnsi="Times New Roman" w:cs="Times New Roman" w:hint="eastAsia"/>
          <w:szCs w:val="32"/>
        </w:rPr>
        <w:t>过程、产出</w:t>
      </w:r>
      <w:r>
        <w:rPr>
          <w:rFonts w:ascii="Times New Roman" w:hAnsi="Times New Roman" w:cs="Times New Roman"/>
          <w:szCs w:val="32"/>
        </w:rPr>
        <w:t>、</w:t>
      </w:r>
      <w:r>
        <w:rPr>
          <w:rFonts w:ascii="Times New Roman" w:hAnsi="Times New Roman" w:cs="Times New Roman" w:hint="eastAsia"/>
          <w:szCs w:val="32"/>
        </w:rPr>
        <w:t>效益四</w:t>
      </w:r>
      <w:r>
        <w:rPr>
          <w:rFonts w:ascii="Times New Roman" w:hAnsi="Times New Roman" w:cs="Times New Roman"/>
          <w:szCs w:val="32"/>
        </w:rPr>
        <w:t>个方面对评价目标进行逐步分解，从定性与定量两个角度综合</w:t>
      </w:r>
      <w:proofErr w:type="gramStart"/>
      <w:r>
        <w:rPr>
          <w:rFonts w:ascii="Times New Roman" w:hAnsi="Times New Roman" w:cs="Times New Roman"/>
          <w:szCs w:val="32"/>
        </w:rPr>
        <w:t>考量</w:t>
      </w:r>
      <w:proofErr w:type="gramEnd"/>
      <w:r>
        <w:rPr>
          <w:rFonts w:ascii="Times New Roman" w:hAnsi="Times New Roman" w:cs="Times New Roman"/>
          <w:szCs w:val="32"/>
        </w:rPr>
        <w:t>，评价资金使用的效率与效益。评价主要采用因素分析法</w:t>
      </w:r>
      <w:r>
        <w:rPr>
          <w:rFonts w:ascii="Times New Roman" w:hAnsi="Times New Roman" w:cs="Times New Roman" w:hint="eastAsia"/>
          <w:szCs w:val="32"/>
        </w:rPr>
        <w:t>和公众评判法</w:t>
      </w:r>
      <w:r>
        <w:rPr>
          <w:rFonts w:ascii="Times New Roman" w:hAnsi="Times New Roman" w:cs="Times New Roman"/>
          <w:szCs w:val="32"/>
        </w:rPr>
        <w:t>。</w:t>
      </w:r>
    </w:p>
    <w:p w14:paraId="5896E6F5"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因素分析法是指通过综合分析影响绩效目标实现、实施效果的内外因素，评价绩效目标的实现程度。</w:t>
      </w:r>
    </w:p>
    <w:p w14:paraId="302721FE"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公众评判法是指通过专家评估、公众问卷及抽样调查等对财政支出效果进行评判，评价绩效目标实现程度</w:t>
      </w:r>
      <w:r>
        <w:rPr>
          <w:rFonts w:ascii="Times New Roman" w:hAnsi="Times New Roman" w:cs="Times New Roman"/>
          <w:szCs w:val="32"/>
        </w:rPr>
        <w:t>。</w:t>
      </w:r>
    </w:p>
    <w:p w14:paraId="684FD0B5"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（三）绩效评价工作过程</w:t>
      </w:r>
    </w:p>
    <w:p w14:paraId="59069BE0"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前期准备</w:t>
      </w:r>
    </w:p>
    <w:p w14:paraId="6D96BE55"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）成立绩效评价工作组，聘请相关行业专家参与被评价项目相关专业技术指标的确定和评价工作的实施；</w:t>
      </w:r>
    </w:p>
    <w:p w14:paraId="4B10BA8A"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lastRenderedPageBreak/>
        <w:t>（</w:t>
      </w:r>
      <w:r>
        <w:rPr>
          <w:rFonts w:ascii="Times New Roman" w:hAnsi="Times New Roman" w:cs="Times New Roman"/>
          <w:szCs w:val="32"/>
        </w:rPr>
        <w:t>2</w:t>
      </w:r>
      <w:r>
        <w:rPr>
          <w:rFonts w:ascii="Times New Roman" w:hAnsi="Times New Roman" w:cs="Times New Roman"/>
          <w:szCs w:val="32"/>
        </w:rPr>
        <w:t>）进行前期调研，收集评价项目</w:t>
      </w:r>
      <w:r>
        <w:rPr>
          <w:rFonts w:ascii="Times New Roman" w:hAnsi="Times New Roman" w:cs="Times New Roman" w:hint="eastAsia"/>
          <w:szCs w:val="32"/>
        </w:rPr>
        <w:t>相关政策文件、管理制度</w:t>
      </w:r>
      <w:r>
        <w:rPr>
          <w:rFonts w:ascii="Times New Roman" w:hAnsi="Times New Roman" w:cs="Times New Roman"/>
          <w:szCs w:val="32"/>
        </w:rPr>
        <w:t>等相关的资料，对相关资料进行整理分析。</w:t>
      </w:r>
    </w:p>
    <w:p w14:paraId="5BD11D1E"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组织实施</w:t>
      </w:r>
    </w:p>
    <w:p w14:paraId="0056F1B4"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）对项目资金的收支进行审核，主要包括资金申请与预算批复的法定程序，资金拨付、支出及财务管理的规范情况；</w:t>
      </w:r>
    </w:p>
    <w:p w14:paraId="228325CA"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）对项目的实施进行审核工作，主要包括评价项目有关的</w:t>
      </w:r>
      <w:r>
        <w:rPr>
          <w:rFonts w:ascii="Times New Roman" w:hAnsi="Times New Roman" w:cs="Times New Roman" w:hint="eastAsia"/>
          <w:szCs w:val="32"/>
        </w:rPr>
        <w:t>造价资料、招投标资料、施工档案、制度建设情况</w:t>
      </w:r>
      <w:r>
        <w:rPr>
          <w:rFonts w:ascii="Times New Roman" w:hAnsi="Times New Roman" w:cs="Times New Roman"/>
          <w:szCs w:val="32"/>
        </w:rPr>
        <w:t>等文件资料；</w:t>
      </w:r>
    </w:p>
    <w:p w14:paraId="1C4D6DFC"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3</w:t>
      </w:r>
      <w:r>
        <w:rPr>
          <w:rFonts w:ascii="Times New Roman" w:hAnsi="Times New Roman" w:cs="Times New Roman"/>
          <w:szCs w:val="32"/>
        </w:rPr>
        <w:t>）根据具体审核情况，</w:t>
      </w:r>
      <w:r>
        <w:rPr>
          <w:rFonts w:ascii="Times New Roman" w:hAnsi="Times New Roman" w:cs="Times New Roman" w:hint="eastAsia"/>
          <w:szCs w:val="32"/>
        </w:rPr>
        <w:t>绩效评价工作组</w:t>
      </w:r>
      <w:r>
        <w:rPr>
          <w:rFonts w:ascii="Times New Roman" w:hAnsi="Times New Roman" w:cs="Times New Roman"/>
          <w:szCs w:val="32"/>
        </w:rPr>
        <w:t>结合专家意见，从项目决策、</w:t>
      </w:r>
      <w:r>
        <w:rPr>
          <w:rFonts w:ascii="Times New Roman" w:hAnsi="Times New Roman" w:cs="Times New Roman" w:hint="eastAsia"/>
          <w:szCs w:val="32"/>
        </w:rPr>
        <w:t>过程、产出</w:t>
      </w:r>
      <w:r>
        <w:rPr>
          <w:rFonts w:ascii="Times New Roman" w:hAnsi="Times New Roman" w:cs="Times New Roman"/>
          <w:szCs w:val="32"/>
        </w:rPr>
        <w:t>、</w:t>
      </w:r>
      <w:r>
        <w:rPr>
          <w:rFonts w:ascii="Times New Roman" w:hAnsi="Times New Roman" w:cs="Times New Roman" w:hint="eastAsia"/>
          <w:szCs w:val="32"/>
        </w:rPr>
        <w:t>效益</w:t>
      </w:r>
      <w:r>
        <w:rPr>
          <w:rFonts w:ascii="Times New Roman" w:hAnsi="Times New Roman" w:cs="Times New Roman"/>
          <w:szCs w:val="32"/>
        </w:rPr>
        <w:t>方面对项目进行分析评议，确定绩效评价指标体系；</w:t>
      </w:r>
    </w:p>
    <w:p w14:paraId="618115DE"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4</w:t>
      </w:r>
      <w:r>
        <w:rPr>
          <w:rFonts w:ascii="Times New Roman" w:hAnsi="Times New Roman" w:cs="Times New Roman"/>
          <w:szCs w:val="32"/>
        </w:rPr>
        <w:t>）现场沟通及考察，对</w:t>
      </w:r>
      <w:r>
        <w:rPr>
          <w:rFonts w:ascii="Times New Roman" w:hAnsi="Times New Roman" w:cs="Times New Roman" w:hint="eastAsia"/>
          <w:szCs w:val="32"/>
        </w:rPr>
        <w:t>本</w:t>
      </w:r>
      <w:r>
        <w:rPr>
          <w:rFonts w:ascii="Times New Roman" w:hAnsi="Times New Roman" w:cs="Times New Roman"/>
          <w:szCs w:val="32"/>
        </w:rPr>
        <w:t>项目</w:t>
      </w:r>
      <w:r>
        <w:rPr>
          <w:rFonts w:ascii="Times New Roman" w:hAnsi="Times New Roman" w:cs="Times New Roman" w:hint="eastAsia"/>
          <w:szCs w:val="32"/>
        </w:rPr>
        <w:t>涉及的</w:t>
      </w:r>
      <w:proofErr w:type="gramStart"/>
      <w:r>
        <w:rPr>
          <w:rFonts w:ascii="Times New Roman" w:hAnsi="Times New Roman" w:cs="Times New Roman" w:hint="eastAsia"/>
          <w:szCs w:val="32"/>
        </w:rPr>
        <w:t>青凝侯小学</w:t>
      </w:r>
      <w:proofErr w:type="gramEnd"/>
      <w:r>
        <w:rPr>
          <w:rFonts w:ascii="Times New Roman" w:hAnsi="Times New Roman" w:cs="Times New Roman" w:hint="eastAsia"/>
          <w:szCs w:val="32"/>
        </w:rPr>
        <w:t>校舍及相关设施情况</w:t>
      </w:r>
      <w:r>
        <w:rPr>
          <w:rFonts w:ascii="Times New Roman" w:hAnsi="Times New Roman" w:cs="Times New Roman"/>
          <w:szCs w:val="32"/>
        </w:rPr>
        <w:t>进行现场考察，</w:t>
      </w:r>
      <w:r>
        <w:rPr>
          <w:rFonts w:ascii="Times New Roman" w:hAnsi="Times New Roman" w:cs="Times New Roman" w:hint="eastAsia"/>
          <w:szCs w:val="32"/>
        </w:rPr>
        <w:t>并于学校进行沟通，向学生发放调查问卷</w:t>
      </w:r>
      <w:r>
        <w:rPr>
          <w:rFonts w:ascii="Times New Roman" w:hAnsi="Times New Roman" w:cs="Times New Roman"/>
          <w:szCs w:val="32"/>
        </w:rPr>
        <w:t>。</w:t>
      </w:r>
    </w:p>
    <w:p w14:paraId="3030BDC4"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分析评价</w:t>
      </w:r>
    </w:p>
    <w:p w14:paraId="58ECD30E"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1</w:t>
      </w:r>
      <w:r>
        <w:rPr>
          <w:rFonts w:ascii="Times New Roman" w:hAnsi="Times New Roman" w:cs="Times New Roman"/>
          <w:szCs w:val="32"/>
        </w:rPr>
        <w:t>）</w:t>
      </w:r>
      <w:r>
        <w:rPr>
          <w:rFonts w:ascii="Times New Roman" w:hAnsi="Times New Roman" w:cs="Times New Roman" w:hint="eastAsia"/>
          <w:szCs w:val="32"/>
        </w:rPr>
        <w:t>绩效评价工作组</w:t>
      </w:r>
      <w:r>
        <w:rPr>
          <w:rFonts w:ascii="Times New Roman" w:hAnsi="Times New Roman" w:cs="Times New Roman"/>
          <w:szCs w:val="32"/>
        </w:rPr>
        <w:t>根据项目核实情况，按照所确定的评价指标体系对项目绩效情况进行评价打分，得出绩效等级；</w:t>
      </w:r>
    </w:p>
    <w:p w14:paraId="1069AB89"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w:t>
      </w:r>
      <w:r>
        <w:rPr>
          <w:rFonts w:ascii="Times New Roman" w:hAnsi="Times New Roman" w:cs="Times New Roman"/>
          <w:szCs w:val="32"/>
        </w:rPr>
        <w:t>2</w:t>
      </w:r>
      <w:r>
        <w:rPr>
          <w:rFonts w:ascii="Times New Roman" w:hAnsi="Times New Roman" w:cs="Times New Roman"/>
          <w:szCs w:val="32"/>
        </w:rPr>
        <w:t>）总结评价结论，同时归纳问题、提出建议。</w:t>
      </w:r>
    </w:p>
    <w:p w14:paraId="40E66C61" w14:textId="77777777" w:rsidR="008A2195" w:rsidRDefault="004000F0">
      <w:pPr>
        <w:ind w:firstLineChars="200" w:firstLine="632"/>
        <w:rPr>
          <w:rFonts w:ascii="黑体" w:eastAsia="黑体" w:hAnsi="黑体"/>
        </w:rPr>
      </w:pPr>
      <w:r>
        <w:rPr>
          <w:rFonts w:ascii="黑体" w:eastAsia="黑体" w:hAnsi="黑体" w:hint="eastAsia"/>
        </w:rPr>
        <w:t>三、综合评价情况及评价结论</w:t>
      </w:r>
    </w:p>
    <w:p w14:paraId="62D89543"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根据《</w:t>
      </w:r>
      <w:r>
        <w:rPr>
          <w:rFonts w:ascii="Times New Roman" w:hAnsi="Times New Roman" w:cs="Times New Roman" w:hint="eastAsia"/>
          <w:szCs w:val="32"/>
        </w:rPr>
        <w:t>西青区教育局校舍安全保障长效机制项目</w:t>
      </w:r>
      <w:r>
        <w:rPr>
          <w:rFonts w:ascii="Times New Roman" w:hAnsi="Times New Roman" w:cs="Times New Roman"/>
          <w:szCs w:val="32"/>
        </w:rPr>
        <w:t>绩效评价指标评分表》的最终总得分，可以用来综合判断本项目的绩效情况，</w:t>
      </w:r>
      <w:r>
        <w:rPr>
          <w:rFonts w:ascii="Times New Roman" w:hAnsi="Times New Roman" w:cs="Times New Roman" w:hint="eastAsia"/>
          <w:szCs w:val="32"/>
        </w:rPr>
        <w:t>绩效评价分值采用百分制评分，</w:t>
      </w:r>
      <w:r>
        <w:rPr>
          <w:rFonts w:ascii="Times New Roman" w:hAnsi="Times New Roman" w:cs="Times New Roman" w:hint="eastAsia"/>
          <w:bCs/>
          <w:szCs w:val="32"/>
        </w:rPr>
        <w:t>评价得分</w:t>
      </w:r>
      <w:r>
        <w:rPr>
          <w:rFonts w:ascii="Times New Roman" w:hAnsi="Times New Roman" w:cs="Times New Roman"/>
          <w:szCs w:val="32"/>
        </w:rPr>
        <w:t>90</w:t>
      </w:r>
      <w:r>
        <w:rPr>
          <w:rFonts w:ascii="Times New Roman" w:hAnsi="Times New Roman" w:cs="Times New Roman"/>
          <w:szCs w:val="32"/>
        </w:rPr>
        <w:t>（含）</w:t>
      </w:r>
      <w:r>
        <w:rPr>
          <w:rFonts w:ascii="Times New Roman" w:hAnsi="Times New Roman" w:cs="Times New Roman"/>
          <w:szCs w:val="32"/>
        </w:rPr>
        <w:t>-100</w:t>
      </w:r>
      <w:r>
        <w:rPr>
          <w:rFonts w:ascii="Times New Roman" w:hAnsi="Times New Roman" w:cs="Times New Roman"/>
          <w:szCs w:val="32"/>
        </w:rPr>
        <w:t>分为优、</w:t>
      </w:r>
      <w:r>
        <w:rPr>
          <w:rFonts w:ascii="Times New Roman" w:hAnsi="Times New Roman" w:cs="Times New Roman"/>
          <w:szCs w:val="32"/>
        </w:rPr>
        <w:t>80</w:t>
      </w:r>
      <w:r>
        <w:rPr>
          <w:rFonts w:ascii="Times New Roman" w:hAnsi="Times New Roman" w:cs="Times New Roman"/>
          <w:szCs w:val="32"/>
        </w:rPr>
        <w:t>（含）</w:t>
      </w:r>
      <w:r>
        <w:rPr>
          <w:rFonts w:ascii="Times New Roman" w:hAnsi="Times New Roman" w:cs="Times New Roman"/>
          <w:szCs w:val="32"/>
        </w:rPr>
        <w:t>-90</w:t>
      </w:r>
      <w:r>
        <w:rPr>
          <w:rFonts w:ascii="Times New Roman" w:hAnsi="Times New Roman" w:cs="Times New Roman"/>
          <w:szCs w:val="32"/>
        </w:rPr>
        <w:t>分为良、</w:t>
      </w:r>
      <w:r>
        <w:rPr>
          <w:rFonts w:ascii="Times New Roman" w:hAnsi="Times New Roman" w:cs="Times New Roman"/>
          <w:szCs w:val="32"/>
        </w:rPr>
        <w:t>60</w:t>
      </w:r>
      <w:r>
        <w:rPr>
          <w:rFonts w:ascii="Times New Roman" w:hAnsi="Times New Roman" w:cs="Times New Roman"/>
          <w:szCs w:val="32"/>
        </w:rPr>
        <w:t>（含）</w:t>
      </w:r>
      <w:r>
        <w:rPr>
          <w:rFonts w:ascii="Times New Roman" w:hAnsi="Times New Roman" w:cs="Times New Roman"/>
          <w:szCs w:val="32"/>
        </w:rPr>
        <w:t>-80</w:t>
      </w:r>
      <w:r>
        <w:rPr>
          <w:rFonts w:ascii="Times New Roman" w:hAnsi="Times New Roman" w:cs="Times New Roman"/>
          <w:szCs w:val="32"/>
        </w:rPr>
        <w:t>分为中、</w:t>
      </w:r>
      <w:r>
        <w:rPr>
          <w:rFonts w:ascii="Times New Roman" w:hAnsi="Times New Roman" w:cs="Times New Roman"/>
          <w:szCs w:val="32"/>
        </w:rPr>
        <w:t>60</w:t>
      </w:r>
      <w:r>
        <w:rPr>
          <w:rFonts w:ascii="Times New Roman" w:hAnsi="Times New Roman" w:cs="Times New Roman"/>
          <w:szCs w:val="32"/>
        </w:rPr>
        <w:t>分以下为差</w:t>
      </w:r>
      <w:r>
        <w:rPr>
          <w:rFonts w:ascii="Times New Roman" w:hAnsi="Times New Roman" w:cs="Times New Roman" w:hint="eastAsia"/>
          <w:szCs w:val="32"/>
        </w:rPr>
        <w:t>。</w:t>
      </w:r>
      <w:r>
        <w:rPr>
          <w:rFonts w:ascii="Times New Roman" w:hAnsi="Times New Roman" w:cs="Times New Roman"/>
          <w:szCs w:val="32"/>
        </w:rPr>
        <w:t>本项</w:t>
      </w:r>
      <w:r>
        <w:rPr>
          <w:rFonts w:ascii="Times New Roman" w:hAnsi="Times New Roman" w:cs="Times New Roman"/>
          <w:szCs w:val="32"/>
        </w:rPr>
        <w:lastRenderedPageBreak/>
        <w:t>目综合总得分</w:t>
      </w:r>
      <w:r>
        <w:rPr>
          <w:rFonts w:ascii="Times New Roman" w:hAnsi="Times New Roman" w:cs="Times New Roman" w:hint="eastAsia"/>
          <w:szCs w:val="32"/>
        </w:rPr>
        <w:t>94.33</w:t>
      </w:r>
      <w:r>
        <w:rPr>
          <w:rFonts w:ascii="Times New Roman" w:hAnsi="Times New Roman" w:cs="Times New Roman"/>
          <w:szCs w:val="32"/>
        </w:rPr>
        <w:t>分，评价结论为</w:t>
      </w:r>
      <w:r>
        <w:rPr>
          <w:rFonts w:ascii="Times New Roman" w:hAnsi="Times New Roman" w:cs="Times New Roman" w:hint="eastAsia"/>
          <w:szCs w:val="32"/>
        </w:rPr>
        <w:t>“优”</w:t>
      </w:r>
      <w:r>
        <w:rPr>
          <w:rFonts w:ascii="Times New Roman" w:hAnsi="Times New Roman" w:cs="Times New Roman"/>
          <w:szCs w:val="32"/>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2159"/>
        <w:gridCol w:w="4667"/>
        <w:gridCol w:w="727"/>
      </w:tblGrid>
      <w:tr w:rsidR="008A2195" w14:paraId="1BFDADC7" w14:textId="77777777">
        <w:trPr>
          <w:trHeight w:val="295"/>
          <w:tblHeader/>
        </w:trPr>
        <w:tc>
          <w:tcPr>
            <w:tcW w:w="815" w:type="pct"/>
            <w:shd w:val="clear" w:color="auto" w:fill="auto"/>
            <w:noWrap/>
            <w:vAlign w:val="center"/>
          </w:tcPr>
          <w:p w14:paraId="29E304E1"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一级评分项</w:t>
            </w:r>
          </w:p>
        </w:tc>
        <w:tc>
          <w:tcPr>
            <w:tcW w:w="1157" w:type="pct"/>
            <w:shd w:val="clear" w:color="auto" w:fill="auto"/>
            <w:noWrap/>
            <w:vAlign w:val="center"/>
          </w:tcPr>
          <w:p w14:paraId="053F07E7"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二级评分项</w:t>
            </w:r>
          </w:p>
        </w:tc>
        <w:tc>
          <w:tcPr>
            <w:tcW w:w="2599" w:type="pct"/>
            <w:shd w:val="clear" w:color="auto" w:fill="auto"/>
            <w:noWrap/>
            <w:vAlign w:val="center"/>
          </w:tcPr>
          <w:p w14:paraId="5E1EEC6D"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三级评分项</w:t>
            </w:r>
          </w:p>
        </w:tc>
        <w:tc>
          <w:tcPr>
            <w:tcW w:w="426" w:type="pct"/>
            <w:shd w:val="clear" w:color="auto" w:fill="auto"/>
            <w:noWrap/>
            <w:vAlign w:val="center"/>
          </w:tcPr>
          <w:p w14:paraId="636104B0"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得分</w:t>
            </w:r>
          </w:p>
        </w:tc>
      </w:tr>
      <w:tr w:rsidR="008A2195" w14:paraId="255C6421" w14:textId="77777777">
        <w:trPr>
          <w:trHeight w:val="295"/>
        </w:trPr>
        <w:tc>
          <w:tcPr>
            <w:tcW w:w="815" w:type="pct"/>
            <w:vMerge w:val="restart"/>
            <w:shd w:val="clear" w:color="auto" w:fill="auto"/>
            <w:noWrap/>
            <w:vAlign w:val="center"/>
          </w:tcPr>
          <w:p w14:paraId="6E007CF6"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决策（</w:t>
            </w:r>
            <w:r>
              <w:rPr>
                <w:rStyle w:val="font31"/>
                <w:sz w:val="21"/>
                <w:szCs w:val="21"/>
                <w:lang w:bidi="ar"/>
              </w:rPr>
              <w:t>20</w:t>
            </w:r>
            <w:r>
              <w:rPr>
                <w:rStyle w:val="font21"/>
                <w:rFonts w:ascii="Times New Roman" w:eastAsia="仿宋_GB2312" w:hAnsi="Times New Roman" w:cs="Times New Roman" w:hint="default"/>
                <w:sz w:val="21"/>
                <w:szCs w:val="21"/>
                <w:lang w:bidi="ar"/>
              </w:rPr>
              <w:t>分）</w:t>
            </w:r>
          </w:p>
        </w:tc>
        <w:tc>
          <w:tcPr>
            <w:tcW w:w="2159" w:type="dxa"/>
            <w:vMerge w:val="restart"/>
            <w:shd w:val="clear" w:color="auto" w:fill="auto"/>
            <w:noWrap/>
            <w:vAlign w:val="center"/>
          </w:tcPr>
          <w:p w14:paraId="23C6E91F"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项目立项（</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4654" w:type="dxa"/>
            <w:shd w:val="clear" w:color="auto" w:fill="auto"/>
            <w:noWrap/>
            <w:vAlign w:val="center"/>
          </w:tcPr>
          <w:p w14:paraId="20EA1890"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立项依据充分性（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714" w:type="dxa"/>
            <w:shd w:val="clear" w:color="auto" w:fill="auto"/>
            <w:noWrap/>
            <w:vAlign w:val="center"/>
          </w:tcPr>
          <w:p w14:paraId="4FBD1F08"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5DDB2361" w14:textId="77777777">
        <w:trPr>
          <w:trHeight w:val="295"/>
        </w:trPr>
        <w:tc>
          <w:tcPr>
            <w:tcW w:w="815" w:type="pct"/>
            <w:vMerge/>
            <w:shd w:val="clear" w:color="auto" w:fill="auto"/>
            <w:noWrap/>
            <w:vAlign w:val="center"/>
          </w:tcPr>
          <w:p w14:paraId="647A00E1" w14:textId="77777777" w:rsidR="008A2195" w:rsidRDefault="008A2195">
            <w:pPr>
              <w:jc w:val="center"/>
              <w:rPr>
                <w:rFonts w:ascii="Times New Roman" w:hAnsi="Times New Roman" w:cs="Times New Roman"/>
                <w:color w:val="000000"/>
                <w:sz w:val="21"/>
              </w:rPr>
            </w:pPr>
          </w:p>
        </w:tc>
        <w:tc>
          <w:tcPr>
            <w:tcW w:w="2159" w:type="dxa"/>
            <w:vMerge/>
            <w:shd w:val="clear" w:color="auto" w:fill="auto"/>
            <w:noWrap/>
            <w:vAlign w:val="center"/>
          </w:tcPr>
          <w:p w14:paraId="3780AF1A" w14:textId="77777777" w:rsidR="008A2195" w:rsidRDefault="008A2195">
            <w:pPr>
              <w:jc w:val="center"/>
              <w:rPr>
                <w:rFonts w:ascii="Times New Roman" w:hAnsi="Times New Roman" w:cs="Times New Roman"/>
                <w:color w:val="000000"/>
                <w:sz w:val="21"/>
              </w:rPr>
            </w:pPr>
          </w:p>
        </w:tc>
        <w:tc>
          <w:tcPr>
            <w:tcW w:w="4654" w:type="dxa"/>
            <w:shd w:val="clear" w:color="auto" w:fill="auto"/>
            <w:noWrap/>
            <w:vAlign w:val="center"/>
          </w:tcPr>
          <w:p w14:paraId="5ECA397B"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立项程序规范性（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714" w:type="dxa"/>
            <w:shd w:val="clear" w:color="auto" w:fill="auto"/>
            <w:noWrap/>
            <w:vAlign w:val="center"/>
          </w:tcPr>
          <w:p w14:paraId="0F0C1700"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5828DED9" w14:textId="77777777">
        <w:trPr>
          <w:trHeight w:val="295"/>
        </w:trPr>
        <w:tc>
          <w:tcPr>
            <w:tcW w:w="815" w:type="pct"/>
            <w:vMerge/>
            <w:shd w:val="clear" w:color="auto" w:fill="auto"/>
            <w:noWrap/>
            <w:vAlign w:val="center"/>
          </w:tcPr>
          <w:p w14:paraId="3AE92BE9" w14:textId="77777777" w:rsidR="008A2195" w:rsidRDefault="008A2195">
            <w:pPr>
              <w:jc w:val="center"/>
              <w:rPr>
                <w:rFonts w:ascii="Times New Roman" w:hAnsi="Times New Roman" w:cs="Times New Roman"/>
                <w:color w:val="000000"/>
                <w:sz w:val="21"/>
              </w:rPr>
            </w:pPr>
          </w:p>
        </w:tc>
        <w:tc>
          <w:tcPr>
            <w:tcW w:w="2159" w:type="dxa"/>
            <w:vMerge w:val="restart"/>
            <w:shd w:val="clear" w:color="auto" w:fill="auto"/>
            <w:noWrap/>
            <w:vAlign w:val="center"/>
          </w:tcPr>
          <w:p w14:paraId="1E466429"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w:t>
            </w:r>
            <w:r>
              <w:rPr>
                <w:rFonts w:ascii="Times New Roman" w:hAnsi="Times New Roman" w:cs="Times New Roman" w:hint="eastAsia"/>
                <w:color w:val="000000"/>
                <w:kern w:val="0"/>
                <w:sz w:val="21"/>
                <w:lang w:bidi="ar"/>
              </w:rPr>
              <w:t>8</w:t>
            </w:r>
            <w:r>
              <w:rPr>
                <w:rFonts w:ascii="Times New Roman" w:hAnsi="Times New Roman" w:cs="Times New Roman"/>
                <w:color w:val="000000"/>
                <w:kern w:val="0"/>
                <w:sz w:val="21"/>
                <w:lang w:bidi="ar"/>
              </w:rPr>
              <w:t>分）</w:t>
            </w:r>
          </w:p>
        </w:tc>
        <w:tc>
          <w:tcPr>
            <w:tcW w:w="4654" w:type="dxa"/>
            <w:shd w:val="clear" w:color="auto" w:fill="auto"/>
            <w:noWrap/>
            <w:vAlign w:val="center"/>
          </w:tcPr>
          <w:p w14:paraId="0D7D3C8F"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绩效目标合理性（</w:t>
            </w:r>
            <w:r>
              <w:rPr>
                <w:rFonts w:ascii="Times New Roman" w:hAnsi="Times New Roman" w:cs="Times New Roman" w:hint="eastAsia"/>
                <w:color w:val="000000"/>
                <w:kern w:val="0"/>
                <w:sz w:val="21"/>
                <w:lang w:bidi="ar"/>
              </w:rPr>
              <w:t>4</w:t>
            </w:r>
            <w:r>
              <w:rPr>
                <w:rFonts w:ascii="Times New Roman" w:hAnsi="Times New Roman" w:cs="Times New Roman"/>
                <w:color w:val="000000"/>
                <w:kern w:val="0"/>
                <w:sz w:val="21"/>
                <w:lang w:bidi="ar"/>
              </w:rPr>
              <w:t>分）</w:t>
            </w:r>
          </w:p>
        </w:tc>
        <w:tc>
          <w:tcPr>
            <w:tcW w:w="714" w:type="dxa"/>
            <w:shd w:val="clear" w:color="auto" w:fill="auto"/>
            <w:noWrap/>
            <w:vAlign w:val="center"/>
          </w:tcPr>
          <w:p w14:paraId="1888EE40"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4</w:t>
            </w:r>
          </w:p>
        </w:tc>
      </w:tr>
      <w:tr w:rsidR="008A2195" w14:paraId="51A00997" w14:textId="77777777">
        <w:trPr>
          <w:trHeight w:val="295"/>
        </w:trPr>
        <w:tc>
          <w:tcPr>
            <w:tcW w:w="815" w:type="pct"/>
            <w:vMerge/>
            <w:shd w:val="clear" w:color="auto" w:fill="auto"/>
            <w:noWrap/>
            <w:vAlign w:val="center"/>
          </w:tcPr>
          <w:p w14:paraId="32F9FD41" w14:textId="77777777" w:rsidR="008A2195" w:rsidRDefault="008A2195">
            <w:pPr>
              <w:jc w:val="center"/>
              <w:rPr>
                <w:rFonts w:ascii="Times New Roman" w:hAnsi="Times New Roman" w:cs="Times New Roman"/>
                <w:color w:val="000000"/>
                <w:sz w:val="21"/>
              </w:rPr>
            </w:pPr>
          </w:p>
        </w:tc>
        <w:tc>
          <w:tcPr>
            <w:tcW w:w="2159" w:type="dxa"/>
            <w:vMerge/>
            <w:shd w:val="clear" w:color="auto" w:fill="auto"/>
            <w:noWrap/>
            <w:vAlign w:val="center"/>
          </w:tcPr>
          <w:p w14:paraId="3B7578F6" w14:textId="77777777" w:rsidR="008A2195" w:rsidRDefault="008A2195">
            <w:pPr>
              <w:jc w:val="center"/>
              <w:rPr>
                <w:rFonts w:ascii="Times New Roman" w:hAnsi="Times New Roman" w:cs="Times New Roman"/>
                <w:color w:val="000000"/>
                <w:sz w:val="21"/>
              </w:rPr>
            </w:pPr>
          </w:p>
        </w:tc>
        <w:tc>
          <w:tcPr>
            <w:tcW w:w="4654" w:type="dxa"/>
            <w:shd w:val="clear" w:color="auto" w:fill="auto"/>
            <w:noWrap/>
            <w:vAlign w:val="center"/>
          </w:tcPr>
          <w:p w14:paraId="24AE40BF"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绩效目标明确性（</w:t>
            </w:r>
            <w:r>
              <w:rPr>
                <w:rFonts w:ascii="Times New Roman" w:hAnsi="Times New Roman" w:cs="Times New Roman" w:hint="eastAsia"/>
                <w:color w:val="000000"/>
                <w:kern w:val="0"/>
                <w:sz w:val="21"/>
                <w:lang w:bidi="ar"/>
              </w:rPr>
              <w:t>4</w:t>
            </w:r>
            <w:r>
              <w:rPr>
                <w:rFonts w:ascii="Times New Roman" w:hAnsi="Times New Roman" w:cs="Times New Roman"/>
                <w:color w:val="000000"/>
                <w:kern w:val="0"/>
                <w:sz w:val="21"/>
                <w:lang w:bidi="ar"/>
              </w:rPr>
              <w:t>分）</w:t>
            </w:r>
          </w:p>
        </w:tc>
        <w:tc>
          <w:tcPr>
            <w:tcW w:w="714" w:type="dxa"/>
            <w:shd w:val="clear" w:color="auto" w:fill="auto"/>
            <w:noWrap/>
            <w:vAlign w:val="center"/>
          </w:tcPr>
          <w:p w14:paraId="4BF6AEE3"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3</w:t>
            </w:r>
          </w:p>
        </w:tc>
      </w:tr>
      <w:tr w:rsidR="008A2195" w14:paraId="275CA999" w14:textId="77777777">
        <w:trPr>
          <w:trHeight w:val="295"/>
        </w:trPr>
        <w:tc>
          <w:tcPr>
            <w:tcW w:w="815" w:type="pct"/>
            <w:vMerge/>
            <w:shd w:val="clear" w:color="auto" w:fill="auto"/>
            <w:noWrap/>
            <w:vAlign w:val="center"/>
          </w:tcPr>
          <w:p w14:paraId="039CB881" w14:textId="77777777" w:rsidR="008A2195" w:rsidRDefault="008A2195">
            <w:pPr>
              <w:jc w:val="center"/>
              <w:rPr>
                <w:rFonts w:ascii="Times New Roman" w:hAnsi="Times New Roman" w:cs="Times New Roman"/>
                <w:color w:val="000000"/>
                <w:sz w:val="21"/>
              </w:rPr>
            </w:pPr>
          </w:p>
        </w:tc>
        <w:tc>
          <w:tcPr>
            <w:tcW w:w="2159" w:type="dxa"/>
            <w:vMerge w:val="restart"/>
            <w:shd w:val="clear" w:color="auto" w:fill="auto"/>
            <w:noWrap/>
            <w:vAlign w:val="center"/>
          </w:tcPr>
          <w:p w14:paraId="2E5EEDC1"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资金投入（</w:t>
            </w:r>
            <w:r>
              <w:rPr>
                <w:rFonts w:ascii="Times New Roman" w:hAnsi="Times New Roman" w:cs="Times New Roman" w:hint="eastAsia"/>
                <w:color w:val="000000"/>
                <w:kern w:val="0"/>
                <w:sz w:val="21"/>
                <w:lang w:bidi="ar"/>
              </w:rPr>
              <w:t>6</w:t>
            </w:r>
            <w:r>
              <w:rPr>
                <w:rFonts w:ascii="Times New Roman" w:hAnsi="Times New Roman" w:cs="Times New Roman"/>
                <w:color w:val="000000"/>
                <w:kern w:val="0"/>
                <w:sz w:val="21"/>
                <w:lang w:bidi="ar"/>
              </w:rPr>
              <w:t>分）</w:t>
            </w:r>
          </w:p>
        </w:tc>
        <w:tc>
          <w:tcPr>
            <w:tcW w:w="4654" w:type="dxa"/>
            <w:shd w:val="clear" w:color="auto" w:fill="auto"/>
            <w:noWrap/>
            <w:vAlign w:val="center"/>
          </w:tcPr>
          <w:p w14:paraId="0AD3C422"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预算编制科学性（</w:t>
            </w:r>
            <w:r>
              <w:rPr>
                <w:rFonts w:ascii="Times New Roman" w:hAnsi="Times New Roman" w:cs="Times New Roman" w:hint="eastAsia"/>
                <w:color w:val="000000"/>
                <w:kern w:val="0"/>
                <w:sz w:val="21"/>
                <w:lang w:bidi="ar"/>
              </w:rPr>
              <w:t>3</w:t>
            </w:r>
            <w:r>
              <w:rPr>
                <w:rFonts w:ascii="Times New Roman" w:hAnsi="Times New Roman" w:cs="Times New Roman"/>
                <w:color w:val="000000"/>
                <w:kern w:val="0"/>
                <w:sz w:val="21"/>
                <w:lang w:bidi="ar"/>
              </w:rPr>
              <w:t>分）</w:t>
            </w:r>
          </w:p>
        </w:tc>
        <w:tc>
          <w:tcPr>
            <w:tcW w:w="714" w:type="dxa"/>
            <w:shd w:val="clear" w:color="auto" w:fill="auto"/>
            <w:noWrap/>
            <w:vAlign w:val="center"/>
          </w:tcPr>
          <w:p w14:paraId="7917F69C"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2</w:t>
            </w:r>
          </w:p>
        </w:tc>
      </w:tr>
      <w:tr w:rsidR="008A2195" w14:paraId="3BD3C852" w14:textId="77777777">
        <w:trPr>
          <w:trHeight w:val="280"/>
        </w:trPr>
        <w:tc>
          <w:tcPr>
            <w:tcW w:w="815" w:type="pct"/>
            <w:vMerge/>
            <w:shd w:val="clear" w:color="auto" w:fill="auto"/>
            <w:noWrap/>
            <w:vAlign w:val="center"/>
          </w:tcPr>
          <w:p w14:paraId="28E30DDA" w14:textId="77777777" w:rsidR="008A2195" w:rsidRDefault="008A2195">
            <w:pPr>
              <w:jc w:val="center"/>
              <w:rPr>
                <w:rFonts w:ascii="Times New Roman" w:hAnsi="Times New Roman" w:cs="Times New Roman"/>
                <w:color w:val="000000"/>
                <w:sz w:val="21"/>
              </w:rPr>
            </w:pPr>
          </w:p>
        </w:tc>
        <w:tc>
          <w:tcPr>
            <w:tcW w:w="2159" w:type="dxa"/>
            <w:vMerge/>
            <w:shd w:val="clear" w:color="auto" w:fill="auto"/>
            <w:noWrap/>
            <w:vAlign w:val="center"/>
          </w:tcPr>
          <w:p w14:paraId="299731AC" w14:textId="77777777" w:rsidR="008A2195" w:rsidRDefault="008A2195">
            <w:pPr>
              <w:jc w:val="center"/>
              <w:rPr>
                <w:rFonts w:ascii="Times New Roman" w:hAnsi="Times New Roman" w:cs="Times New Roman"/>
                <w:color w:val="000000"/>
                <w:sz w:val="21"/>
              </w:rPr>
            </w:pPr>
          </w:p>
        </w:tc>
        <w:tc>
          <w:tcPr>
            <w:tcW w:w="4654" w:type="dxa"/>
            <w:shd w:val="clear" w:color="auto" w:fill="auto"/>
            <w:noWrap/>
            <w:vAlign w:val="center"/>
          </w:tcPr>
          <w:p w14:paraId="28596648"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资金分配合理性（</w:t>
            </w:r>
            <w:r>
              <w:rPr>
                <w:rFonts w:ascii="Times New Roman" w:hAnsi="Times New Roman" w:cs="Times New Roman" w:hint="eastAsia"/>
                <w:color w:val="000000"/>
                <w:kern w:val="0"/>
                <w:sz w:val="21"/>
                <w:lang w:bidi="ar"/>
              </w:rPr>
              <w:t>3</w:t>
            </w:r>
            <w:r>
              <w:rPr>
                <w:rFonts w:ascii="Times New Roman" w:hAnsi="Times New Roman" w:cs="Times New Roman"/>
                <w:color w:val="000000"/>
                <w:kern w:val="0"/>
                <w:sz w:val="21"/>
                <w:lang w:bidi="ar"/>
              </w:rPr>
              <w:t>分）</w:t>
            </w:r>
          </w:p>
        </w:tc>
        <w:tc>
          <w:tcPr>
            <w:tcW w:w="714" w:type="dxa"/>
            <w:shd w:val="clear" w:color="auto" w:fill="auto"/>
            <w:noWrap/>
            <w:vAlign w:val="center"/>
          </w:tcPr>
          <w:p w14:paraId="08B5A6FC"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3</w:t>
            </w:r>
          </w:p>
        </w:tc>
      </w:tr>
      <w:tr w:rsidR="008A2195" w14:paraId="26C14372" w14:textId="77777777">
        <w:trPr>
          <w:trHeight w:val="280"/>
        </w:trPr>
        <w:tc>
          <w:tcPr>
            <w:tcW w:w="815" w:type="pct"/>
            <w:vMerge w:val="restart"/>
            <w:shd w:val="clear" w:color="auto" w:fill="auto"/>
            <w:vAlign w:val="center"/>
          </w:tcPr>
          <w:p w14:paraId="46B8C329"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过程（</w:t>
            </w:r>
            <w:r>
              <w:rPr>
                <w:rStyle w:val="font31"/>
                <w:sz w:val="21"/>
                <w:szCs w:val="21"/>
                <w:lang w:bidi="ar"/>
              </w:rPr>
              <w:t>15</w:t>
            </w:r>
            <w:r>
              <w:rPr>
                <w:rStyle w:val="font21"/>
                <w:rFonts w:ascii="Times New Roman" w:eastAsia="仿宋_GB2312" w:hAnsi="Times New Roman" w:cs="Times New Roman" w:hint="default"/>
                <w:sz w:val="21"/>
                <w:szCs w:val="21"/>
                <w:lang w:bidi="ar"/>
              </w:rPr>
              <w:t>分）</w:t>
            </w:r>
          </w:p>
        </w:tc>
        <w:tc>
          <w:tcPr>
            <w:tcW w:w="1157" w:type="pct"/>
            <w:vMerge w:val="restart"/>
            <w:shd w:val="clear" w:color="auto" w:fill="auto"/>
            <w:vAlign w:val="center"/>
          </w:tcPr>
          <w:p w14:paraId="3923DFC6"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资金管理（</w:t>
            </w:r>
            <w:r>
              <w:rPr>
                <w:rStyle w:val="font31"/>
                <w:sz w:val="21"/>
                <w:szCs w:val="21"/>
                <w:lang w:bidi="ar"/>
              </w:rPr>
              <w:t>9</w:t>
            </w:r>
            <w:r>
              <w:rPr>
                <w:rStyle w:val="font21"/>
                <w:rFonts w:ascii="Times New Roman" w:eastAsia="仿宋_GB2312" w:hAnsi="Times New Roman" w:cs="Times New Roman" w:hint="default"/>
                <w:sz w:val="21"/>
                <w:szCs w:val="21"/>
                <w:lang w:bidi="ar"/>
              </w:rPr>
              <w:t>分）</w:t>
            </w:r>
          </w:p>
        </w:tc>
        <w:tc>
          <w:tcPr>
            <w:tcW w:w="2599" w:type="pct"/>
            <w:shd w:val="clear" w:color="auto" w:fill="auto"/>
            <w:vAlign w:val="center"/>
          </w:tcPr>
          <w:p w14:paraId="304C8DA4"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资金到位率（</w:t>
            </w:r>
            <w:r>
              <w:rPr>
                <w:rStyle w:val="font31"/>
                <w:sz w:val="21"/>
                <w:szCs w:val="21"/>
                <w:lang w:bidi="ar"/>
              </w:rPr>
              <w:t>3</w:t>
            </w:r>
            <w:r>
              <w:rPr>
                <w:rStyle w:val="font21"/>
                <w:rFonts w:ascii="Times New Roman" w:eastAsia="仿宋_GB2312" w:hAnsi="Times New Roman" w:cs="Times New Roman" w:hint="default"/>
                <w:sz w:val="21"/>
                <w:szCs w:val="21"/>
                <w:lang w:bidi="ar"/>
              </w:rPr>
              <w:t>分）</w:t>
            </w:r>
          </w:p>
        </w:tc>
        <w:tc>
          <w:tcPr>
            <w:tcW w:w="426" w:type="pct"/>
            <w:shd w:val="clear" w:color="auto" w:fill="auto"/>
            <w:vAlign w:val="center"/>
          </w:tcPr>
          <w:p w14:paraId="03E296D6"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6CE9F870" w14:textId="77777777">
        <w:trPr>
          <w:trHeight w:val="280"/>
        </w:trPr>
        <w:tc>
          <w:tcPr>
            <w:tcW w:w="815" w:type="pct"/>
            <w:vMerge/>
            <w:shd w:val="clear" w:color="auto" w:fill="auto"/>
            <w:vAlign w:val="center"/>
          </w:tcPr>
          <w:p w14:paraId="5F452CA0" w14:textId="77777777" w:rsidR="008A2195" w:rsidRDefault="008A2195">
            <w:pPr>
              <w:jc w:val="center"/>
              <w:rPr>
                <w:rFonts w:ascii="Times New Roman" w:hAnsi="Times New Roman" w:cs="Times New Roman"/>
                <w:color w:val="000000"/>
                <w:sz w:val="21"/>
              </w:rPr>
            </w:pPr>
          </w:p>
        </w:tc>
        <w:tc>
          <w:tcPr>
            <w:tcW w:w="1157" w:type="pct"/>
            <w:vMerge/>
            <w:shd w:val="clear" w:color="auto" w:fill="auto"/>
            <w:vAlign w:val="center"/>
          </w:tcPr>
          <w:p w14:paraId="7BCDE983" w14:textId="77777777" w:rsidR="008A2195" w:rsidRDefault="008A2195">
            <w:pPr>
              <w:jc w:val="center"/>
              <w:rPr>
                <w:rFonts w:ascii="Times New Roman" w:hAnsi="Times New Roman" w:cs="Times New Roman"/>
                <w:color w:val="000000"/>
                <w:sz w:val="21"/>
              </w:rPr>
            </w:pPr>
          </w:p>
        </w:tc>
        <w:tc>
          <w:tcPr>
            <w:tcW w:w="2599" w:type="pct"/>
            <w:shd w:val="clear" w:color="auto" w:fill="auto"/>
            <w:vAlign w:val="center"/>
          </w:tcPr>
          <w:p w14:paraId="25843C4E"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预算执行率（</w:t>
            </w:r>
            <w:r>
              <w:rPr>
                <w:rStyle w:val="font31"/>
                <w:sz w:val="21"/>
                <w:szCs w:val="21"/>
                <w:lang w:bidi="ar"/>
              </w:rPr>
              <w:t>3</w:t>
            </w:r>
            <w:r>
              <w:rPr>
                <w:rStyle w:val="font21"/>
                <w:rFonts w:ascii="Times New Roman" w:eastAsia="仿宋_GB2312" w:hAnsi="Times New Roman" w:cs="Times New Roman" w:hint="default"/>
                <w:sz w:val="21"/>
                <w:szCs w:val="21"/>
                <w:lang w:bidi="ar"/>
              </w:rPr>
              <w:t>分）</w:t>
            </w:r>
          </w:p>
        </w:tc>
        <w:tc>
          <w:tcPr>
            <w:tcW w:w="426" w:type="pct"/>
            <w:shd w:val="clear" w:color="auto" w:fill="auto"/>
            <w:vAlign w:val="center"/>
          </w:tcPr>
          <w:p w14:paraId="5D0A3D99"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1.33</w:t>
            </w:r>
          </w:p>
        </w:tc>
      </w:tr>
      <w:tr w:rsidR="008A2195" w14:paraId="19F1202F" w14:textId="77777777">
        <w:trPr>
          <w:trHeight w:val="295"/>
        </w:trPr>
        <w:tc>
          <w:tcPr>
            <w:tcW w:w="815" w:type="pct"/>
            <w:vMerge/>
            <w:shd w:val="clear" w:color="auto" w:fill="auto"/>
            <w:vAlign w:val="center"/>
          </w:tcPr>
          <w:p w14:paraId="66ECC311" w14:textId="77777777" w:rsidR="008A2195" w:rsidRDefault="008A2195">
            <w:pPr>
              <w:jc w:val="center"/>
              <w:rPr>
                <w:rFonts w:ascii="Times New Roman" w:hAnsi="Times New Roman" w:cs="Times New Roman"/>
                <w:color w:val="000000"/>
                <w:sz w:val="21"/>
              </w:rPr>
            </w:pPr>
          </w:p>
        </w:tc>
        <w:tc>
          <w:tcPr>
            <w:tcW w:w="1157" w:type="pct"/>
            <w:vMerge/>
            <w:shd w:val="clear" w:color="auto" w:fill="auto"/>
            <w:vAlign w:val="center"/>
          </w:tcPr>
          <w:p w14:paraId="2404500C" w14:textId="77777777" w:rsidR="008A2195" w:rsidRDefault="008A2195">
            <w:pPr>
              <w:jc w:val="center"/>
              <w:rPr>
                <w:rFonts w:ascii="Times New Roman" w:hAnsi="Times New Roman" w:cs="Times New Roman"/>
                <w:color w:val="000000"/>
                <w:sz w:val="21"/>
              </w:rPr>
            </w:pPr>
          </w:p>
        </w:tc>
        <w:tc>
          <w:tcPr>
            <w:tcW w:w="2599" w:type="pct"/>
            <w:shd w:val="clear" w:color="auto" w:fill="auto"/>
            <w:vAlign w:val="center"/>
          </w:tcPr>
          <w:p w14:paraId="547FB346"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资金使用合</w:t>
            </w:r>
            <w:proofErr w:type="gramStart"/>
            <w:r>
              <w:rPr>
                <w:rFonts w:ascii="Times New Roman" w:hAnsi="Times New Roman" w:cs="Times New Roman"/>
                <w:color w:val="000000"/>
                <w:kern w:val="0"/>
                <w:sz w:val="21"/>
                <w:lang w:bidi="ar"/>
              </w:rPr>
              <w:t>规</w:t>
            </w:r>
            <w:proofErr w:type="gramEnd"/>
            <w:r>
              <w:rPr>
                <w:rFonts w:ascii="Times New Roman" w:hAnsi="Times New Roman" w:cs="Times New Roman"/>
                <w:color w:val="000000"/>
                <w:kern w:val="0"/>
                <w:sz w:val="21"/>
                <w:lang w:bidi="ar"/>
              </w:rPr>
              <w:t>性（</w:t>
            </w:r>
            <w:r>
              <w:rPr>
                <w:rStyle w:val="font31"/>
                <w:sz w:val="21"/>
                <w:szCs w:val="21"/>
                <w:lang w:bidi="ar"/>
              </w:rPr>
              <w:t>3</w:t>
            </w:r>
            <w:r>
              <w:rPr>
                <w:rStyle w:val="font21"/>
                <w:rFonts w:ascii="Times New Roman" w:eastAsia="仿宋_GB2312" w:hAnsi="Times New Roman" w:cs="Times New Roman" w:hint="default"/>
                <w:sz w:val="21"/>
                <w:szCs w:val="21"/>
                <w:lang w:bidi="ar"/>
              </w:rPr>
              <w:t>分）</w:t>
            </w:r>
          </w:p>
        </w:tc>
        <w:tc>
          <w:tcPr>
            <w:tcW w:w="426" w:type="pct"/>
            <w:shd w:val="clear" w:color="auto" w:fill="auto"/>
            <w:vAlign w:val="center"/>
          </w:tcPr>
          <w:p w14:paraId="420D793E"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06C08498" w14:textId="77777777">
        <w:trPr>
          <w:trHeight w:val="295"/>
        </w:trPr>
        <w:tc>
          <w:tcPr>
            <w:tcW w:w="815" w:type="pct"/>
            <w:vMerge/>
            <w:shd w:val="clear" w:color="auto" w:fill="auto"/>
            <w:vAlign w:val="center"/>
          </w:tcPr>
          <w:p w14:paraId="526C6AB0" w14:textId="77777777" w:rsidR="008A2195" w:rsidRDefault="008A2195">
            <w:pPr>
              <w:jc w:val="center"/>
              <w:rPr>
                <w:rFonts w:ascii="Times New Roman" w:hAnsi="Times New Roman" w:cs="Times New Roman"/>
                <w:color w:val="000000"/>
                <w:sz w:val="21"/>
              </w:rPr>
            </w:pPr>
          </w:p>
        </w:tc>
        <w:tc>
          <w:tcPr>
            <w:tcW w:w="1157" w:type="pct"/>
            <w:vMerge w:val="restart"/>
            <w:shd w:val="clear" w:color="auto" w:fill="auto"/>
            <w:vAlign w:val="center"/>
          </w:tcPr>
          <w:p w14:paraId="2445C3F2"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组织实施（</w:t>
            </w:r>
            <w:r>
              <w:rPr>
                <w:rStyle w:val="font31"/>
                <w:sz w:val="21"/>
                <w:szCs w:val="21"/>
                <w:lang w:bidi="ar"/>
              </w:rPr>
              <w:t>6</w:t>
            </w:r>
            <w:r>
              <w:rPr>
                <w:rStyle w:val="font21"/>
                <w:rFonts w:ascii="Times New Roman" w:eastAsia="仿宋_GB2312" w:hAnsi="Times New Roman" w:cs="Times New Roman" w:hint="default"/>
                <w:sz w:val="21"/>
                <w:szCs w:val="21"/>
                <w:lang w:bidi="ar"/>
              </w:rPr>
              <w:t>分）</w:t>
            </w:r>
          </w:p>
        </w:tc>
        <w:tc>
          <w:tcPr>
            <w:tcW w:w="2599" w:type="pct"/>
            <w:shd w:val="clear" w:color="auto" w:fill="auto"/>
            <w:vAlign w:val="center"/>
          </w:tcPr>
          <w:p w14:paraId="237AE4DF"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管理制度健全性（</w:t>
            </w:r>
            <w:r>
              <w:rPr>
                <w:rStyle w:val="font31"/>
                <w:sz w:val="21"/>
                <w:szCs w:val="21"/>
                <w:lang w:bidi="ar"/>
              </w:rPr>
              <w:t>3</w:t>
            </w:r>
            <w:r>
              <w:rPr>
                <w:rStyle w:val="font21"/>
                <w:rFonts w:ascii="Times New Roman" w:eastAsia="仿宋_GB2312" w:hAnsi="Times New Roman" w:cs="Times New Roman" w:hint="default"/>
                <w:sz w:val="21"/>
                <w:szCs w:val="21"/>
                <w:lang w:bidi="ar"/>
              </w:rPr>
              <w:t>分）</w:t>
            </w:r>
          </w:p>
        </w:tc>
        <w:tc>
          <w:tcPr>
            <w:tcW w:w="426" w:type="pct"/>
            <w:shd w:val="clear" w:color="auto" w:fill="auto"/>
            <w:vAlign w:val="center"/>
          </w:tcPr>
          <w:p w14:paraId="3CAAFD34"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55129C8A" w14:textId="77777777">
        <w:trPr>
          <w:trHeight w:val="295"/>
        </w:trPr>
        <w:tc>
          <w:tcPr>
            <w:tcW w:w="815" w:type="pct"/>
            <w:vMerge/>
            <w:shd w:val="clear" w:color="auto" w:fill="auto"/>
            <w:vAlign w:val="center"/>
          </w:tcPr>
          <w:p w14:paraId="22AB6063" w14:textId="77777777" w:rsidR="008A2195" w:rsidRDefault="008A2195">
            <w:pPr>
              <w:jc w:val="center"/>
              <w:rPr>
                <w:rFonts w:ascii="Times New Roman" w:hAnsi="Times New Roman" w:cs="Times New Roman"/>
                <w:color w:val="000000"/>
                <w:sz w:val="21"/>
              </w:rPr>
            </w:pPr>
          </w:p>
        </w:tc>
        <w:tc>
          <w:tcPr>
            <w:tcW w:w="1157" w:type="pct"/>
            <w:vMerge/>
            <w:shd w:val="clear" w:color="auto" w:fill="auto"/>
            <w:vAlign w:val="center"/>
          </w:tcPr>
          <w:p w14:paraId="239D6D0A" w14:textId="77777777" w:rsidR="008A2195" w:rsidRDefault="008A2195">
            <w:pPr>
              <w:jc w:val="center"/>
              <w:rPr>
                <w:rFonts w:ascii="Times New Roman" w:hAnsi="Times New Roman" w:cs="Times New Roman"/>
                <w:color w:val="000000"/>
                <w:sz w:val="21"/>
              </w:rPr>
            </w:pPr>
          </w:p>
        </w:tc>
        <w:tc>
          <w:tcPr>
            <w:tcW w:w="2599" w:type="pct"/>
            <w:shd w:val="clear" w:color="auto" w:fill="auto"/>
            <w:vAlign w:val="center"/>
          </w:tcPr>
          <w:p w14:paraId="696CDF83"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制度执行有效性（</w:t>
            </w:r>
            <w:r>
              <w:rPr>
                <w:rStyle w:val="font31"/>
                <w:sz w:val="21"/>
                <w:szCs w:val="21"/>
                <w:lang w:bidi="ar"/>
              </w:rPr>
              <w:t>3</w:t>
            </w:r>
            <w:r>
              <w:rPr>
                <w:rStyle w:val="font21"/>
                <w:rFonts w:ascii="Times New Roman" w:eastAsia="仿宋_GB2312" w:hAnsi="Times New Roman" w:cs="Times New Roman" w:hint="default"/>
                <w:sz w:val="21"/>
                <w:szCs w:val="21"/>
                <w:lang w:bidi="ar"/>
              </w:rPr>
              <w:t>分）</w:t>
            </w:r>
          </w:p>
        </w:tc>
        <w:tc>
          <w:tcPr>
            <w:tcW w:w="426" w:type="pct"/>
            <w:shd w:val="clear" w:color="auto" w:fill="auto"/>
            <w:vAlign w:val="center"/>
          </w:tcPr>
          <w:p w14:paraId="10C79E5A"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0DB582CA" w14:textId="77777777">
        <w:trPr>
          <w:trHeight w:val="280"/>
        </w:trPr>
        <w:tc>
          <w:tcPr>
            <w:tcW w:w="815" w:type="pct"/>
            <w:vMerge w:val="restart"/>
            <w:shd w:val="clear" w:color="auto" w:fill="auto"/>
            <w:noWrap/>
            <w:vAlign w:val="center"/>
          </w:tcPr>
          <w:p w14:paraId="460C3CAA"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1157" w:type="pct"/>
            <w:shd w:val="clear" w:color="auto" w:fill="auto"/>
            <w:noWrap/>
            <w:vAlign w:val="center"/>
          </w:tcPr>
          <w:p w14:paraId="5E801A20"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产出数量（</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2599" w:type="pct"/>
            <w:shd w:val="clear" w:color="auto" w:fill="auto"/>
            <w:noWrap/>
            <w:vAlign w:val="center"/>
          </w:tcPr>
          <w:p w14:paraId="73772BB1"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校舍改造工程实际完成率（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26" w:type="pct"/>
            <w:shd w:val="clear" w:color="auto" w:fill="auto"/>
            <w:noWrap/>
            <w:vAlign w:val="center"/>
          </w:tcPr>
          <w:p w14:paraId="3DD41EFC"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07FB3469" w14:textId="77777777">
        <w:trPr>
          <w:trHeight w:val="280"/>
        </w:trPr>
        <w:tc>
          <w:tcPr>
            <w:tcW w:w="815" w:type="pct"/>
            <w:vMerge/>
            <w:shd w:val="clear" w:color="auto" w:fill="auto"/>
            <w:noWrap/>
            <w:vAlign w:val="center"/>
          </w:tcPr>
          <w:p w14:paraId="07673FAD" w14:textId="77777777" w:rsidR="008A2195" w:rsidRDefault="008A2195">
            <w:pPr>
              <w:jc w:val="center"/>
              <w:rPr>
                <w:rFonts w:ascii="Times New Roman" w:hAnsi="Times New Roman" w:cs="Times New Roman"/>
                <w:color w:val="000000"/>
                <w:sz w:val="21"/>
              </w:rPr>
            </w:pPr>
          </w:p>
        </w:tc>
        <w:tc>
          <w:tcPr>
            <w:tcW w:w="1157" w:type="pct"/>
            <w:shd w:val="clear" w:color="auto" w:fill="auto"/>
            <w:noWrap/>
            <w:vAlign w:val="center"/>
          </w:tcPr>
          <w:p w14:paraId="1F027D7B"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产出质量（</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2599" w:type="pct"/>
            <w:shd w:val="clear" w:color="auto" w:fill="auto"/>
            <w:noWrap/>
            <w:vAlign w:val="center"/>
          </w:tcPr>
          <w:p w14:paraId="3D94A2E9"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校舍改造工程质量验收达标率（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26" w:type="pct"/>
            <w:shd w:val="clear" w:color="auto" w:fill="auto"/>
            <w:noWrap/>
            <w:vAlign w:val="center"/>
          </w:tcPr>
          <w:p w14:paraId="0A3AAC93"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55FA5F64" w14:textId="77777777">
        <w:trPr>
          <w:trHeight w:val="280"/>
        </w:trPr>
        <w:tc>
          <w:tcPr>
            <w:tcW w:w="815" w:type="pct"/>
            <w:vMerge/>
            <w:shd w:val="clear" w:color="auto" w:fill="auto"/>
            <w:noWrap/>
            <w:vAlign w:val="center"/>
          </w:tcPr>
          <w:p w14:paraId="4B164BAD" w14:textId="77777777" w:rsidR="008A2195" w:rsidRDefault="008A2195">
            <w:pPr>
              <w:jc w:val="center"/>
              <w:rPr>
                <w:rFonts w:ascii="Times New Roman" w:hAnsi="Times New Roman" w:cs="Times New Roman"/>
                <w:color w:val="000000"/>
                <w:sz w:val="21"/>
              </w:rPr>
            </w:pPr>
          </w:p>
        </w:tc>
        <w:tc>
          <w:tcPr>
            <w:tcW w:w="1157" w:type="pct"/>
            <w:shd w:val="clear" w:color="auto" w:fill="auto"/>
            <w:noWrap/>
            <w:vAlign w:val="center"/>
          </w:tcPr>
          <w:p w14:paraId="31621A25"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产出时效（</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2599" w:type="pct"/>
            <w:shd w:val="clear" w:color="auto" w:fill="auto"/>
            <w:noWrap/>
            <w:vAlign w:val="center"/>
          </w:tcPr>
          <w:p w14:paraId="1B91BF4E"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校舍改造工程完成及时性（</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26" w:type="pct"/>
            <w:shd w:val="clear" w:color="auto" w:fill="auto"/>
            <w:noWrap/>
            <w:vAlign w:val="center"/>
          </w:tcPr>
          <w:p w14:paraId="4164E036"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7875B321" w14:textId="77777777">
        <w:trPr>
          <w:trHeight w:val="280"/>
        </w:trPr>
        <w:tc>
          <w:tcPr>
            <w:tcW w:w="815" w:type="pct"/>
            <w:vMerge/>
            <w:shd w:val="clear" w:color="auto" w:fill="auto"/>
            <w:noWrap/>
            <w:vAlign w:val="center"/>
          </w:tcPr>
          <w:p w14:paraId="012A6F20" w14:textId="77777777" w:rsidR="008A2195" w:rsidRDefault="008A2195">
            <w:pPr>
              <w:jc w:val="center"/>
              <w:rPr>
                <w:rFonts w:ascii="Times New Roman" w:hAnsi="Times New Roman" w:cs="Times New Roman"/>
                <w:color w:val="000000"/>
                <w:sz w:val="21"/>
              </w:rPr>
            </w:pPr>
          </w:p>
        </w:tc>
        <w:tc>
          <w:tcPr>
            <w:tcW w:w="1157" w:type="pct"/>
            <w:shd w:val="clear" w:color="auto" w:fill="auto"/>
            <w:noWrap/>
            <w:vAlign w:val="center"/>
          </w:tcPr>
          <w:p w14:paraId="53F5D266"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产出成本（</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2599" w:type="pct"/>
            <w:shd w:val="clear" w:color="auto" w:fill="auto"/>
            <w:noWrap/>
            <w:vAlign w:val="center"/>
          </w:tcPr>
          <w:p w14:paraId="1895809B"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成本节约率（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26" w:type="pct"/>
            <w:shd w:val="clear" w:color="auto" w:fill="auto"/>
            <w:noWrap/>
            <w:vAlign w:val="center"/>
          </w:tcPr>
          <w:p w14:paraId="3A736851"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46CE4599" w14:textId="77777777">
        <w:trPr>
          <w:trHeight w:val="280"/>
        </w:trPr>
        <w:tc>
          <w:tcPr>
            <w:tcW w:w="815" w:type="pct"/>
            <w:vMerge w:val="restart"/>
            <w:shd w:val="clear" w:color="auto" w:fill="auto"/>
            <w:noWrap/>
            <w:vAlign w:val="center"/>
          </w:tcPr>
          <w:p w14:paraId="5665F2AC"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效益（</w:t>
            </w:r>
            <w:r>
              <w:rPr>
                <w:rFonts w:ascii="Times New Roman" w:hAnsi="Times New Roman" w:cs="Times New Roman"/>
                <w:color w:val="000000"/>
                <w:kern w:val="0"/>
                <w:sz w:val="21"/>
                <w:lang w:bidi="ar"/>
              </w:rPr>
              <w:t>45</w:t>
            </w:r>
            <w:r>
              <w:rPr>
                <w:rFonts w:ascii="Times New Roman" w:hAnsi="Times New Roman" w:cs="Times New Roman"/>
                <w:color w:val="000000"/>
                <w:kern w:val="0"/>
                <w:sz w:val="21"/>
                <w:lang w:bidi="ar"/>
              </w:rPr>
              <w:t>分）</w:t>
            </w:r>
          </w:p>
        </w:tc>
        <w:tc>
          <w:tcPr>
            <w:tcW w:w="1157" w:type="pct"/>
            <w:vMerge w:val="restart"/>
            <w:shd w:val="clear" w:color="auto" w:fill="auto"/>
            <w:noWrap/>
            <w:vAlign w:val="center"/>
          </w:tcPr>
          <w:p w14:paraId="201B89BA"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社会效益（</w:t>
            </w:r>
            <w:r>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2599" w:type="pct"/>
            <w:shd w:val="clear" w:color="auto" w:fill="auto"/>
            <w:noWrap/>
            <w:vAlign w:val="center"/>
          </w:tcPr>
          <w:p w14:paraId="5B7F64DC"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改善办学条件（</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26" w:type="pct"/>
            <w:shd w:val="clear" w:color="auto" w:fill="auto"/>
            <w:noWrap/>
            <w:vAlign w:val="center"/>
          </w:tcPr>
          <w:p w14:paraId="414D1FEB"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19937006" w14:textId="77777777">
        <w:trPr>
          <w:trHeight w:val="280"/>
        </w:trPr>
        <w:tc>
          <w:tcPr>
            <w:tcW w:w="815" w:type="pct"/>
            <w:vMerge/>
            <w:shd w:val="clear" w:color="auto" w:fill="auto"/>
            <w:noWrap/>
            <w:vAlign w:val="center"/>
          </w:tcPr>
          <w:p w14:paraId="7250E681" w14:textId="77777777" w:rsidR="008A2195" w:rsidRDefault="008A2195">
            <w:pPr>
              <w:jc w:val="center"/>
              <w:rPr>
                <w:rFonts w:ascii="Times New Roman" w:hAnsi="Times New Roman" w:cs="Times New Roman"/>
                <w:color w:val="000000"/>
                <w:sz w:val="21"/>
              </w:rPr>
            </w:pPr>
          </w:p>
        </w:tc>
        <w:tc>
          <w:tcPr>
            <w:tcW w:w="1157" w:type="pct"/>
            <w:vMerge/>
            <w:shd w:val="clear" w:color="auto" w:fill="auto"/>
            <w:noWrap/>
            <w:vAlign w:val="center"/>
          </w:tcPr>
          <w:p w14:paraId="24A7E098" w14:textId="77777777" w:rsidR="008A2195" w:rsidRDefault="008A2195">
            <w:pPr>
              <w:jc w:val="center"/>
              <w:rPr>
                <w:rFonts w:ascii="Times New Roman" w:hAnsi="Times New Roman" w:cs="Times New Roman"/>
                <w:color w:val="000000"/>
                <w:sz w:val="21"/>
              </w:rPr>
            </w:pPr>
          </w:p>
        </w:tc>
        <w:tc>
          <w:tcPr>
            <w:tcW w:w="2599" w:type="pct"/>
            <w:shd w:val="clear" w:color="auto" w:fill="auto"/>
            <w:noWrap/>
            <w:vAlign w:val="center"/>
          </w:tcPr>
          <w:p w14:paraId="575FF944"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提高义务教育质量、促进教育均衡发展（</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26" w:type="pct"/>
            <w:shd w:val="clear" w:color="auto" w:fill="auto"/>
            <w:noWrap/>
            <w:vAlign w:val="center"/>
          </w:tcPr>
          <w:p w14:paraId="17EA7B93"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154B6461" w14:textId="77777777">
        <w:trPr>
          <w:trHeight w:val="280"/>
        </w:trPr>
        <w:tc>
          <w:tcPr>
            <w:tcW w:w="815" w:type="pct"/>
            <w:vMerge/>
            <w:shd w:val="clear" w:color="auto" w:fill="auto"/>
            <w:noWrap/>
            <w:vAlign w:val="center"/>
          </w:tcPr>
          <w:p w14:paraId="483D63CE" w14:textId="77777777" w:rsidR="008A2195" w:rsidRDefault="008A2195">
            <w:pPr>
              <w:jc w:val="center"/>
              <w:rPr>
                <w:rFonts w:ascii="Times New Roman" w:hAnsi="Times New Roman" w:cs="Times New Roman"/>
                <w:color w:val="000000"/>
                <w:sz w:val="21"/>
              </w:rPr>
            </w:pPr>
          </w:p>
        </w:tc>
        <w:tc>
          <w:tcPr>
            <w:tcW w:w="1157" w:type="pct"/>
            <w:vMerge w:val="restart"/>
            <w:shd w:val="clear" w:color="auto" w:fill="auto"/>
            <w:noWrap/>
            <w:vAlign w:val="center"/>
          </w:tcPr>
          <w:p w14:paraId="762AB691"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可持续发展（</w:t>
            </w:r>
            <w:r>
              <w:rPr>
                <w:rFonts w:ascii="Times New Roman" w:hAnsi="Times New Roman" w:cs="Times New Roman"/>
                <w:color w:val="000000"/>
                <w:kern w:val="0"/>
                <w:sz w:val="21"/>
                <w:lang w:bidi="ar"/>
              </w:rPr>
              <w:t>15</w:t>
            </w:r>
            <w:r>
              <w:rPr>
                <w:rFonts w:ascii="Times New Roman" w:hAnsi="Times New Roman" w:cs="Times New Roman"/>
                <w:color w:val="000000"/>
                <w:kern w:val="0"/>
                <w:sz w:val="21"/>
                <w:lang w:bidi="ar"/>
              </w:rPr>
              <w:t>分）</w:t>
            </w:r>
          </w:p>
        </w:tc>
        <w:tc>
          <w:tcPr>
            <w:tcW w:w="2599" w:type="pct"/>
            <w:shd w:val="clear" w:color="auto" w:fill="auto"/>
            <w:noWrap/>
            <w:vAlign w:val="center"/>
          </w:tcPr>
          <w:p w14:paraId="5FAAC59F"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建立校舍安全年检制度（</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26" w:type="pct"/>
            <w:shd w:val="clear" w:color="auto" w:fill="auto"/>
            <w:noWrap/>
            <w:vAlign w:val="center"/>
          </w:tcPr>
          <w:p w14:paraId="356C42CC"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00D12DCF" w14:textId="77777777">
        <w:trPr>
          <w:trHeight w:val="280"/>
        </w:trPr>
        <w:tc>
          <w:tcPr>
            <w:tcW w:w="815" w:type="pct"/>
            <w:vMerge/>
            <w:shd w:val="clear" w:color="auto" w:fill="auto"/>
            <w:noWrap/>
            <w:vAlign w:val="center"/>
          </w:tcPr>
          <w:p w14:paraId="08568FAB" w14:textId="77777777" w:rsidR="008A2195" w:rsidRDefault="008A2195">
            <w:pPr>
              <w:jc w:val="center"/>
              <w:rPr>
                <w:rFonts w:ascii="Times New Roman" w:hAnsi="Times New Roman" w:cs="Times New Roman"/>
                <w:color w:val="000000"/>
                <w:sz w:val="21"/>
              </w:rPr>
            </w:pPr>
          </w:p>
        </w:tc>
        <w:tc>
          <w:tcPr>
            <w:tcW w:w="1157" w:type="pct"/>
            <w:vMerge/>
            <w:shd w:val="clear" w:color="auto" w:fill="auto"/>
            <w:noWrap/>
            <w:vAlign w:val="center"/>
          </w:tcPr>
          <w:p w14:paraId="7BD24FF6" w14:textId="77777777" w:rsidR="008A2195" w:rsidRDefault="008A2195">
            <w:pPr>
              <w:jc w:val="center"/>
              <w:rPr>
                <w:rFonts w:ascii="Times New Roman" w:hAnsi="Times New Roman" w:cs="Times New Roman"/>
                <w:color w:val="000000"/>
                <w:sz w:val="21"/>
              </w:rPr>
            </w:pPr>
          </w:p>
        </w:tc>
        <w:tc>
          <w:tcPr>
            <w:tcW w:w="2599" w:type="pct"/>
            <w:shd w:val="clear" w:color="auto" w:fill="auto"/>
            <w:noWrap/>
            <w:vAlign w:val="center"/>
          </w:tcPr>
          <w:p w14:paraId="4E527D16"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学校建设项目管理水平提高程度（</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26" w:type="pct"/>
            <w:shd w:val="clear" w:color="auto" w:fill="auto"/>
            <w:noWrap/>
            <w:vAlign w:val="center"/>
          </w:tcPr>
          <w:p w14:paraId="4D95A469"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01D7EAB2" w14:textId="77777777">
        <w:trPr>
          <w:trHeight w:val="280"/>
        </w:trPr>
        <w:tc>
          <w:tcPr>
            <w:tcW w:w="815" w:type="pct"/>
            <w:vMerge/>
            <w:shd w:val="clear" w:color="auto" w:fill="auto"/>
            <w:noWrap/>
            <w:vAlign w:val="center"/>
          </w:tcPr>
          <w:p w14:paraId="73D7139F" w14:textId="77777777" w:rsidR="008A2195" w:rsidRDefault="008A2195">
            <w:pPr>
              <w:jc w:val="center"/>
              <w:rPr>
                <w:rFonts w:ascii="Times New Roman" w:hAnsi="Times New Roman" w:cs="Times New Roman"/>
                <w:color w:val="000000"/>
                <w:sz w:val="21"/>
              </w:rPr>
            </w:pPr>
          </w:p>
        </w:tc>
        <w:tc>
          <w:tcPr>
            <w:tcW w:w="1157" w:type="pct"/>
            <w:vMerge/>
            <w:shd w:val="clear" w:color="auto" w:fill="auto"/>
            <w:noWrap/>
            <w:vAlign w:val="center"/>
          </w:tcPr>
          <w:p w14:paraId="1D18A829" w14:textId="77777777" w:rsidR="008A2195" w:rsidRDefault="008A2195">
            <w:pPr>
              <w:jc w:val="center"/>
              <w:rPr>
                <w:rFonts w:ascii="Times New Roman" w:hAnsi="Times New Roman" w:cs="Times New Roman"/>
                <w:color w:val="000000"/>
                <w:sz w:val="21"/>
              </w:rPr>
            </w:pPr>
          </w:p>
        </w:tc>
        <w:tc>
          <w:tcPr>
            <w:tcW w:w="2599" w:type="pct"/>
            <w:shd w:val="clear" w:color="auto" w:fill="auto"/>
            <w:noWrap/>
            <w:vAlign w:val="center"/>
          </w:tcPr>
          <w:p w14:paraId="55F7F367" w14:textId="77777777" w:rsidR="008A2195" w:rsidRDefault="004000F0">
            <w:pPr>
              <w:widowControl/>
              <w:jc w:val="left"/>
              <w:textAlignment w:val="center"/>
              <w:rPr>
                <w:rFonts w:ascii="Times New Roman" w:hAnsi="Times New Roman" w:cs="Times New Roman"/>
                <w:color w:val="000000"/>
                <w:sz w:val="21"/>
              </w:rPr>
            </w:pPr>
            <w:proofErr w:type="gramStart"/>
            <w:r>
              <w:rPr>
                <w:rFonts w:ascii="Times New Roman" w:hAnsi="Times New Roman" w:cs="Times New Roman"/>
                <w:color w:val="000000"/>
                <w:kern w:val="0"/>
                <w:sz w:val="21"/>
                <w:lang w:bidi="ar"/>
              </w:rPr>
              <w:t>构建保障中小学校舍安全</w:t>
            </w:r>
            <w:proofErr w:type="gramEnd"/>
            <w:r>
              <w:rPr>
                <w:rFonts w:ascii="Times New Roman" w:hAnsi="Times New Roman" w:cs="Times New Roman"/>
                <w:color w:val="000000"/>
                <w:kern w:val="0"/>
                <w:sz w:val="21"/>
                <w:lang w:bidi="ar"/>
              </w:rPr>
              <w:t>的制度体系（</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426" w:type="pct"/>
            <w:shd w:val="clear" w:color="auto" w:fill="auto"/>
            <w:noWrap/>
            <w:vAlign w:val="center"/>
          </w:tcPr>
          <w:p w14:paraId="24418D56"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04017541" w14:textId="77777777">
        <w:trPr>
          <w:trHeight w:val="280"/>
        </w:trPr>
        <w:tc>
          <w:tcPr>
            <w:tcW w:w="815" w:type="pct"/>
            <w:vMerge/>
            <w:shd w:val="clear" w:color="auto" w:fill="auto"/>
            <w:noWrap/>
            <w:vAlign w:val="center"/>
          </w:tcPr>
          <w:p w14:paraId="535368F5" w14:textId="77777777" w:rsidR="008A2195" w:rsidRDefault="008A2195">
            <w:pPr>
              <w:jc w:val="center"/>
              <w:rPr>
                <w:rFonts w:ascii="Times New Roman" w:hAnsi="Times New Roman" w:cs="Times New Roman"/>
                <w:color w:val="000000"/>
                <w:sz w:val="21"/>
              </w:rPr>
            </w:pPr>
          </w:p>
        </w:tc>
        <w:tc>
          <w:tcPr>
            <w:tcW w:w="1157" w:type="pct"/>
            <w:shd w:val="clear" w:color="auto" w:fill="auto"/>
            <w:noWrap/>
            <w:vAlign w:val="center"/>
          </w:tcPr>
          <w:p w14:paraId="41EE64FC"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群众满意度（</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2599" w:type="pct"/>
            <w:shd w:val="clear" w:color="auto" w:fill="auto"/>
            <w:noWrap/>
            <w:vAlign w:val="center"/>
          </w:tcPr>
          <w:p w14:paraId="71A4EA31"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学生及家长群体满意度（</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426" w:type="pct"/>
            <w:shd w:val="clear" w:color="auto" w:fill="auto"/>
            <w:noWrap/>
            <w:vAlign w:val="center"/>
          </w:tcPr>
          <w:p w14:paraId="5EB9410D"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20</w:t>
            </w:r>
          </w:p>
        </w:tc>
      </w:tr>
      <w:tr w:rsidR="008A2195" w14:paraId="48DDAB0B" w14:textId="77777777">
        <w:trPr>
          <w:trHeight w:val="383"/>
        </w:trPr>
        <w:tc>
          <w:tcPr>
            <w:tcW w:w="4573" w:type="pct"/>
            <w:gridSpan w:val="3"/>
            <w:shd w:val="clear" w:color="auto" w:fill="auto"/>
            <w:noWrap/>
            <w:vAlign w:val="center"/>
          </w:tcPr>
          <w:p w14:paraId="46FBF6CF"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合计</w:t>
            </w:r>
          </w:p>
        </w:tc>
        <w:tc>
          <w:tcPr>
            <w:tcW w:w="426" w:type="pct"/>
            <w:shd w:val="clear" w:color="auto" w:fill="auto"/>
            <w:noWrap/>
            <w:vAlign w:val="center"/>
          </w:tcPr>
          <w:p w14:paraId="4B3845E1"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94.33</w:t>
            </w:r>
          </w:p>
        </w:tc>
      </w:tr>
    </w:tbl>
    <w:p w14:paraId="7AF7AAD2" w14:textId="77777777" w:rsidR="008A2195" w:rsidRDefault="004000F0">
      <w:pPr>
        <w:ind w:firstLineChars="200" w:firstLine="632"/>
        <w:rPr>
          <w:rFonts w:ascii="Times New Roman" w:eastAsia="黑体" w:hAnsi="Times New Roman" w:cs="Times New Roman"/>
          <w:szCs w:val="32"/>
        </w:rPr>
      </w:pPr>
      <w:r>
        <w:rPr>
          <w:rFonts w:ascii="Times New Roman" w:eastAsia="黑体" w:hAnsi="Times New Roman" w:cs="Times New Roman" w:hint="eastAsia"/>
          <w:szCs w:val="32"/>
        </w:rPr>
        <w:t>四</w:t>
      </w:r>
      <w:r>
        <w:rPr>
          <w:rFonts w:ascii="Times New Roman" w:eastAsia="黑体" w:hAnsi="Times New Roman" w:cs="Times New Roman"/>
          <w:szCs w:val="32"/>
        </w:rPr>
        <w:t>、绩效评价指标分析情况</w:t>
      </w:r>
    </w:p>
    <w:p w14:paraId="0A6134BA"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（一）</w:t>
      </w:r>
      <w:r>
        <w:rPr>
          <w:rFonts w:ascii="Times New Roman" w:eastAsia="楷体_GB2312" w:hAnsi="Times New Roman" w:cs="Times New Roman" w:hint="eastAsia"/>
          <w:bCs/>
          <w:szCs w:val="32"/>
        </w:rPr>
        <w:t>项目决策情况</w:t>
      </w:r>
    </w:p>
    <w:p w14:paraId="4E306F8D"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决策指标主要从项目立项、绩效目标、资金投入等三个方面分析，其中项目立项指标下设立项依据充分性、立项程序规范性</w:t>
      </w:r>
      <w:r>
        <w:rPr>
          <w:rFonts w:ascii="Times New Roman" w:hAnsi="Times New Roman" w:cs="Times New Roman"/>
          <w:szCs w:val="32"/>
        </w:rPr>
        <w:t>2</w:t>
      </w:r>
      <w:r>
        <w:rPr>
          <w:rFonts w:ascii="Times New Roman" w:hAnsi="Times New Roman" w:cs="Times New Roman"/>
          <w:szCs w:val="32"/>
        </w:rPr>
        <w:t>个三级指标，绩效目标指标下设绩效目标合理性、绩效</w:t>
      </w:r>
      <w:r>
        <w:rPr>
          <w:rFonts w:ascii="Times New Roman" w:hAnsi="Times New Roman" w:cs="Times New Roman" w:hint="eastAsia"/>
          <w:szCs w:val="32"/>
        </w:rPr>
        <w:t>目标</w:t>
      </w:r>
      <w:r>
        <w:rPr>
          <w:rFonts w:ascii="Times New Roman" w:hAnsi="Times New Roman" w:cs="Times New Roman"/>
          <w:szCs w:val="32"/>
        </w:rPr>
        <w:t>明确性</w:t>
      </w:r>
      <w:r>
        <w:rPr>
          <w:rFonts w:ascii="Times New Roman" w:hAnsi="Times New Roman" w:cs="Times New Roman"/>
          <w:szCs w:val="32"/>
        </w:rPr>
        <w:t>2</w:t>
      </w:r>
      <w:r>
        <w:rPr>
          <w:rFonts w:ascii="Times New Roman" w:hAnsi="Times New Roman" w:cs="Times New Roman"/>
          <w:szCs w:val="32"/>
        </w:rPr>
        <w:t>个三级指标，资金投入指标下设预算编制科学性、资金分配合理性</w:t>
      </w:r>
      <w:r>
        <w:rPr>
          <w:rFonts w:ascii="Times New Roman" w:hAnsi="Times New Roman" w:cs="Times New Roman"/>
          <w:szCs w:val="32"/>
        </w:rPr>
        <w:t>2</w:t>
      </w:r>
      <w:r>
        <w:rPr>
          <w:rFonts w:ascii="Times New Roman" w:hAnsi="Times New Roman" w:cs="Times New Roman"/>
          <w:szCs w:val="32"/>
        </w:rPr>
        <w:t>个</w:t>
      </w:r>
      <w:r>
        <w:rPr>
          <w:rFonts w:ascii="Times New Roman" w:hAnsi="Times New Roman" w:cs="Times New Roman" w:hint="eastAsia"/>
          <w:szCs w:val="32"/>
        </w:rPr>
        <w:t>三</w:t>
      </w:r>
      <w:r>
        <w:rPr>
          <w:rFonts w:ascii="Times New Roman" w:hAnsi="Times New Roman" w:cs="Times New Roman"/>
          <w:szCs w:val="32"/>
        </w:rPr>
        <w:t>级指标。具体得分情况见下表：</w:t>
      </w:r>
    </w:p>
    <w:tbl>
      <w:tblPr>
        <w:tblW w:w="4997" w:type="pct"/>
        <w:tblLook w:val="04A0" w:firstRow="1" w:lastRow="0" w:firstColumn="1" w:lastColumn="0" w:noHBand="0" w:noVBand="1"/>
      </w:tblPr>
      <w:tblGrid>
        <w:gridCol w:w="2067"/>
        <w:gridCol w:w="2569"/>
        <w:gridCol w:w="3553"/>
        <w:gridCol w:w="866"/>
      </w:tblGrid>
      <w:tr w:rsidR="008A2195" w14:paraId="05DCD879" w14:textId="77777777">
        <w:trPr>
          <w:trHeight w:val="280"/>
        </w:trPr>
        <w:tc>
          <w:tcPr>
            <w:tcW w:w="11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3465F7"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一级评分项</w:t>
            </w:r>
          </w:p>
        </w:tc>
        <w:tc>
          <w:tcPr>
            <w:tcW w:w="141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38843A"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二级评分项</w:t>
            </w:r>
          </w:p>
        </w:tc>
        <w:tc>
          <w:tcPr>
            <w:tcW w:w="19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359A8F"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三级评分项</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773298"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得分</w:t>
            </w:r>
          </w:p>
        </w:tc>
      </w:tr>
      <w:tr w:rsidR="008A2195" w14:paraId="6295BE24" w14:textId="77777777">
        <w:trPr>
          <w:trHeight w:val="520"/>
        </w:trPr>
        <w:tc>
          <w:tcPr>
            <w:tcW w:w="1141"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6958FA"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决策（</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1418"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871914"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项目立项（</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19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D9FF30"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立项依据充分性（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1FB5FF"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0BC10D17" w14:textId="77777777">
        <w:trPr>
          <w:trHeight w:val="520"/>
        </w:trPr>
        <w:tc>
          <w:tcPr>
            <w:tcW w:w="114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AC685C" w14:textId="77777777" w:rsidR="008A2195" w:rsidRDefault="008A2195">
            <w:pPr>
              <w:jc w:val="center"/>
              <w:rPr>
                <w:rFonts w:ascii="Times New Roman" w:hAnsi="Times New Roman" w:cs="Times New Roman"/>
                <w:color w:val="000000"/>
                <w:sz w:val="21"/>
              </w:rPr>
            </w:pPr>
          </w:p>
        </w:tc>
        <w:tc>
          <w:tcPr>
            <w:tcW w:w="141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C5FDF" w14:textId="77777777" w:rsidR="008A2195" w:rsidRDefault="008A2195">
            <w:pPr>
              <w:jc w:val="center"/>
              <w:rPr>
                <w:rFonts w:ascii="Times New Roman" w:hAnsi="Times New Roman" w:cs="Times New Roman"/>
                <w:color w:val="000000"/>
                <w:sz w:val="21"/>
              </w:rPr>
            </w:pPr>
          </w:p>
        </w:tc>
        <w:tc>
          <w:tcPr>
            <w:tcW w:w="19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66CEAB"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立项程序规范性（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135C1A"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169D504B" w14:textId="77777777">
        <w:trPr>
          <w:trHeight w:val="520"/>
        </w:trPr>
        <w:tc>
          <w:tcPr>
            <w:tcW w:w="114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1FF550" w14:textId="77777777" w:rsidR="008A2195" w:rsidRDefault="008A2195">
            <w:pPr>
              <w:jc w:val="center"/>
              <w:rPr>
                <w:rFonts w:ascii="Times New Roman" w:hAnsi="Times New Roman" w:cs="Times New Roman"/>
                <w:color w:val="000000"/>
                <w:sz w:val="21"/>
              </w:rPr>
            </w:pPr>
          </w:p>
        </w:tc>
        <w:tc>
          <w:tcPr>
            <w:tcW w:w="1418"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12BC41"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w:t>
            </w:r>
            <w:r>
              <w:rPr>
                <w:rFonts w:ascii="Times New Roman" w:hAnsi="Times New Roman" w:cs="Times New Roman" w:hint="eastAsia"/>
                <w:color w:val="000000"/>
                <w:kern w:val="0"/>
                <w:sz w:val="21"/>
                <w:lang w:bidi="ar"/>
              </w:rPr>
              <w:t>8</w:t>
            </w:r>
            <w:r>
              <w:rPr>
                <w:rFonts w:ascii="Times New Roman" w:hAnsi="Times New Roman" w:cs="Times New Roman"/>
                <w:color w:val="000000"/>
                <w:kern w:val="0"/>
                <w:sz w:val="21"/>
                <w:lang w:bidi="ar"/>
              </w:rPr>
              <w:t>分）</w:t>
            </w:r>
          </w:p>
        </w:tc>
        <w:tc>
          <w:tcPr>
            <w:tcW w:w="19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CCDA4F"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绩效目标合理性（</w:t>
            </w:r>
            <w:r>
              <w:rPr>
                <w:rFonts w:ascii="Times New Roman" w:hAnsi="Times New Roman" w:cs="Times New Roman" w:hint="eastAsia"/>
                <w:color w:val="000000"/>
                <w:kern w:val="0"/>
                <w:sz w:val="21"/>
                <w:lang w:bidi="ar"/>
              </w:rPr>
              <w:t>4</w:t>
            </w:r>
            <w:r>
              <w:rPr>
                <w:rFonts w:ascii="Times New Roman" w:hAnsi="Times New Roman" w:cs="Times New Roman"/>
                <w:color w:val="000000"/>
                <w:kern w:val="0"/>
                <w:sz w:val="21"/>
                <w:lang w:bidi="ar"/>
              </w:rPr>
              <w:t>分）</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DFFA97"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4</w:t>
            </w:r>
          </w:p>
        </w:tc>
      </w:tr>
      <w:tr w:rsidR="008A2195" w14:paraId="3777394E" w14:textId="77777777">
        <w:trPr>
          <w:trHeight w:val="520"/>
        </w:trPr>
        <w:tc>
          <w:tcPr>
            <w:tcW w:w="114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1E1421" w14:textId="77777777" w:rsidR="008A2195" w:rsidRDefault="008A2195">
            <w:pPr>
              <w:jc w:val="center"/>
              <w:rPr>
                <w:rFonts w:ascii="Times New Roman" w:hAnsi="Times New Roman" w:cs="Times New Roman"/>
                <w:color w:val="000000"/>
                <w:sz w:val="21"/>
              </w:rPr>
            </w:pPr>
          </w:p>
        </w:tc>
        <w:tc>
          <w:tcPr>
            <w:tcW w:w="141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F70963" w14:textId="77777777" w:rsidR="008A2195" w:rsidRDefault="008A2195">
            <w:pPr>
              <w:jc w:val="center"/>
              <w:rPr>
                <w:rFonts w:ascii="Times New Roman" w:hAnsi="Times New Roman" w:cs="Times New Roman"/>
                <w:color w:val="000000"/>
                <w:sz w:val="21"/>
              </w:rPr>
            </w:pPr>
          </w:p>
        </w:tc>
        <w:tc>
          <w:tcPr>
            <w:tcW w:w="19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2FD4CF"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绩效目标明确性（</w:t>
            </w:r>
            <w:r>
              <w:rPr>
                <w:rFonts w:ascii="Times New Roman" w:hAnsi="Times New Roman" w:cs="Times New Roman" w:hint="eastAsia"/>
                <w:color w:val="000000"/>
                <w:kern w:val="0"/>
                <w:sz w:val="21"/>
                <w:lang w:bidi="ar"/>
              </w:rPr>
              <w:t>4</w:t>
            </w:r>
            <w:r>
              <w:rPr>
                <w:rFonts w:ascii="Times New Roman" w:hAnsi="Times New Roman" w:cs="Times New Roman"/>
                <w:color w:val="000000"/>
                <w:kern w:val="0"/>
                <w:sz w:val="21"/>
                <w:lang w:bidi="ar"/>
              </w:rPr>
              <w:t>分）</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03EBBB"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3</w:t>
            </w:r>
          </w:p>
        </w:tc>
      </w:tr>
      <w:tr w:rsidR="008A2195" w14:paraId="14456624" w14:textId="77777777">
        <w:trPr>
          <w:trHeight w:val="520"/>
        </w:trPr>
        <w:tc>
          <w:tcPr>
            <w:tcW w:w="114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DE2D0A" w14:textId="77777777" w:rsidR="008A2195" w:rsidRDefault="008A2195">
            <w:pPr>
              <w:jc w:val="center"/>
              <w:rPr>
                <w:rFonts w:ascii="Times New Roman" w:hAnsi="Times New Roman" w:cs="Times New Roman"/>
                <w:color w:val="000000"/>
                <w:sz w:val="21"/>
              </w:rPr>
            </w:pPr>
          </w:p>
        </w:tc>
        <w:tc>
          <w:tcPr>
            <w:tcW w:w="1418"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72D251"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资金投入（</w:t>
            </w:r>
            <w:r>
              <w:rPr>
                <w:rFonts w:ascii="Times New Roman" w:hAnsi="Times New Roman" w:cs="Times New Roman" w:hint="eastAsia"/>
                <w:color w:val="000000"/>
                <w:kern w:val="0"/>
                <w:sz w:val="21"/>
                <w:lang w:bidi="ar"/>
              </w:rPr>
              <w:t>6</w:t>
            </w:r>
            <w:r>
              <w:rPr>
                <w:rFonts w:ascii="Times New Roman" w:hAnsi="Times New Roman" w:cs="Times New Roman"/>
                <w:color w:val="000000"/>
                <w:kern w:val="0"/>
                <w:sz w:val="21"/>
                <w:lang w:bidi="ar"/>
              </w:rPr>
              <w:t>分）</w:t>
            </w:r>
          </w:p>
        </w:tc>
        <w:tc>
          <w:tcPr>
            <w:tcW w:w="19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FB46AB"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预算编制科学性（</w:t>
            </w:r>
            <w:r>
              <w:rPr>
                <w:rFonts w:ascii="Times New Roman" w:hAnsi="Times New Roman" w:cs="Times New Roman" w:hint="eastAsia"/>
                <w:color w:val="000000"/>
                <w:kern w:val="0"/>
                <w:sz w:val="21"/>
                <w:lang w:bidi="ar"/>
              </w:rPr>
              <w:t>3</w:t>
            </w:r>
            <w:r>
              <w:rPr>
                <w:rFonts w:ascii="Times New Roman" w:hAnsi="Times New Roman" w:cs="Times New Roman"/>
                <w:color w:val="000000"/>
                <w:kern w:val="0"/>
                <w:sz w:val="21"/>
                <w:lang w:bidi="ar"/>
              </w:rPr>
              <w:t>分）</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2CE69"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2</w:t>
            </w:r>
          </w:p>
        </w:tc>
      </w:tr>
      <w:tr w:rsidR="008A2195" w14:paraId="6F0D9A99" w14:textId="77777777">
        <w:trPr>
          <w:trHeight w:val="520"/>
        </w:trPr>
        <w:tc>
          <w:tcPr>
            <w:tcW w:w="1141"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6C3E4E" w14:textId="77777777" w:rsidR="008A2195" w:rsidRDefault="008A2195">
            <w:pPr>
              <w:jc w:val="center"/>
              <w:rPr>
                <w:rFonts w:ascii="Times New Roman" w:hAnsi="Times New Roman" w:cs="Times New Roman"/>
                <w:color w:val="000000"/>
                <w:sz w:val="21"/>
              </w:rPr>
            </w:pPr>
          </w:p>
        </w:tc>
        <w:tc>
          <w:tcPr>
            <w:tcW w:w="1418"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9F1E42" w14:textId="77777777" w:rsidR="008A2195" w:rsidRDefault="008A2195">
            <w:pPr>
              <w:jc w:val="center"/>
              <w:rPr>
                <w:rFonts w:ascii="Times New Roman" w:hAnsi="Times New Roman" w:cs="Times New Roman"/>
                <w:color w:val="000000"/>
                <w:sz w:val="21"/>
              </w:rPr>
            </w:pPr>
          </w:p>
        </w:tc>
        <w:tc>
          <w:tcPr>
            <w:tcW w:w="196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58C7B5"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资金分配合理性（</w:t>
            </w:r>
            <w:r>
              <w:rPr>
                <w:rFonts w:ascii="Times New Roman" w:hAnsi="Times New Roman" w:cs="Times New Roman" w:hint="eastAsia"/>
                <w:color w:val="000000"/>
                <w:kern w:val="0"/>
                <w:sz w:val="21"/>
                <w:lang w:bidi="ar"/>
              </w:rPr>
              <w:t>3</w:t>
            </w:r>
            <w:r>
              <w:rPr>
                <w:rFonts w:ascii="Times New Roman" w:hAnsi="Times New Roman" w:cs="Times New Roman"/>
                <w:color w:val="000000"/>
                <w:kern w:val="0"/>
                <w:sz w:val="21"/>
                <w:lang w:bidi="ar"/>
              </w:rPr>
              <w:t>分）</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F23CA7"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hint="eastAsia"/>
                <w:color w:val="000000"/>
                <w:kern w:val="0"/>
                <w:sz w:val="21"/>
                <w:lang w:bidi="ar"/>
              </w:rPr>
              <w:t>3</w:t>
            </w:r>
          </w:p>
        </w:tc>
      </w:tr>
      <w:tr w:rsidR="008A2195" w14:paraId="6321299F" w14:textId="77777777">
        <w:trPr>
          <w:trHeight w:val="520"/>
        </w:trPr>
        <w:tc>
          <w:tcPr>
            <w:tcW w:w="4521"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F0C7CE" w14:textId="77777777" w:rsidR="008A2195" w:rsidRDefault="004000F0">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合计</w:t>
            </w:r>
          </w:p>
        </w:tc>
        <w:tc>
          <w:tcPr>
            <w:tcW w:w="47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2E1D26" w14:textId="77777777" w:rsidR="008A2195" w:rsidRDefault="004000F0">
            <w:pPr>
              <w:widowControl/>
              <w:jc w:val="center"/>
              <w:textAlignment w:val="center"/>
              <w:rPr>
                <w:rFonts w:ascii="Times New Roman" w:hAnsi="Times New Roman" w:cs="Times New Roman"/>
                <w:color w:val="000000"/>
                <w:kern w:val="0"/>
                <w:sz w:val="21"/>
                <w:lang w:bidi="ar"/>
              </w:rPr>
            </w:pPr>
            <w:r>
              <w:rPr>
                <w:rFonts w:ascii="Times New Roman" w:hAnsi="Times New Roman" w:cs="Times New Roman"/>
                <w:color w:val="000000"/>
                <w:kern w:val="0"/>
                <w:sz w:val="21"/>
                <w:lang w:bidi="ar"/>
              </w:rPr>
              <w:t>18</w:t>
            </w:r>
          </w:p>
        </w:tc>
      </w:tr>
    </w:tbl>
    <w:p w14:paraId="0A46AB7B"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项目立项情况分析</w:t>
      </w:r>
    </w:p>
    <w:p w14:paraId="542D44AE" w14:textId="77777777" w:rsidR="008A2195" w:rsidRDefault="004000F0">
      <w:pPr>
        <w:ind w:firstLineChars="200" w:firstLine="632"/>
        <w:rPr>
          <w:rFonts w:ascii="仿宋_GB2312" w:hAnsi="仿宋_GB2312" w:cs="仿宋_GB2312"/>
          <w:szCs w:val="32"/>
        </w:rPr>
      </w:pPr>
      <w:r>
        <w:rPr>
          <w:rFonts w:ascii="Times New Roman" w:hAnsi="Times New Roman" w:cs="Times New Roman"/>
          <w:szCs w:val="32"/>
        </w:rPr>
        <w:t>2013</w:t>
      </w:r>
      <w:r>
        <w:rPr>
          <w:rFonts w:ascii="Times New Roman" w:hAnsi="Times New Roman" w:cs="Times New Roman"/>
          <w:szCs w:val="32"/>
        </w:rPr>
        <w:t>年</w:t>
      </w:r>
      <w:r>
        <w:rPr>
          <w:rFonts w:ascii="Times New Roman" w:hAnsi="Times New Roman" w:cs="Times New Roman"/>
          <w:szCs w:val="32"/>
        </w:rPr>
        <w:t>11</w:t>
      </w:r>
      <w:r>
        <w:rPr>
          <w:rFonts w:ascii="Times New Roman" w:hAnsi="Times New Roman" w:cs="Times New Roman"/>
          <w:szCs w:val="32"/>
        </w:rPr>
        <w:t>月</w:t>
      </w:r>
      <w:r>
        <w:rPr>
          <w:rFonts w:ascii="仿宋_GB2312" w:hAnsi="仿宋_GB2312" w:cs="仿宋_GB2312" w:hint="eastAsia"/>
          <w:szCs w:val="32"/>
        </w:rPr>
        <w:t>，国务院办公厅转发教育部等部门关于建立中</w:t>
      </w:r>
      <w:r>
        <w:rPr>
          <w:rFonts w:ascii="仿宋_GB2312" w:hAnsi="仿宋_GB2312" w:cs="仿宋_GB2312" w:hint="eastAsia"/>
          <w:szCs w:val="32"/>
        </w:rPr>
        <w:lastRenderedPageBreak/>
        <w:t>小学校</w:t>
      </w:r>
      <w:proofErr w:type="gramStart"/>
      <w:r>
        <w:rPr>
          <w:rFonts w:ascii="仿宋_GB2312" w:hAnsi="仿宋_GB2312" w:cs="仿宋_GB2312" w:hint="eastAsia"/>
          <w:szCs w:val="32"/>
        </w:rPr>
        <w:t>舍安全</w:t>
      </w:r>
      <w:proofErr w:type="gramEnd"/>
      <w:r>
        <w:rPr>
          <w:rFonts w:ascii="仿宋_GB2312" w:hAnsi="仿宋_GB2312" w:cs="仿宋_GB2312" w:hint="eastAsia"/>
          <w:szCs w:val="32"/>
        </w:rPr>
        <w:t>保障长效机制意见的通知《关于建立中小学校舍安全保障长效机制的意见》（国办发〔</w:t>
      </w:r>
      <w:r>
        <w:rPr>
          <w:rFonts w:ascii="Times New Roman" w:hAnsi="Times New Roman" w:cs="Times New Roman"/>
          <w:szCs w:val="32"/>
        </w:rPr>
        <w:t>2013</w:t>
      </w:r>
      <w:r>
        <w:rPr>
          <w:rFonts w:ascii="仿宋_GB2312" w:hAnsi="仿宋_GB2312" w:cs="仿宋_GB2312" w:hint="eastAsia"/>
          <w:szCs w:val="32"/>
        </w:rPr>
        <w:t>〕</w:t>
      </w:r>
      <w:r>
        <w:rPr>
          <w:rFonts w:ascii="Times New Roman" w:hAnsi="Times New Roman" w:cs="Times New Roman"/>
          <w:szCs w:val="32"/>
        </w:rPr>
        <w:t>103</w:t>
      </w:r>
      <w:r>
        <w:rPr>
          <w:rFonts w:ascii="仿宋_GB2312" w:hAnsi="仿宋_GB2312" w:cs="仿宋_GB2312" w:hint="eastAsia"/>
          <w:szCs w:val="32"/>
        </w:rPr>
        <w:t>号），其中明确提出“各级政府要将保障中小学校舍安全资金纳入财政预算，统筹各类校舍建设项目，加大对经济落后地区的支持力度。”同时，</w:t>
      </w:r>
      <w:r>
        <w:rPr>
          <w:rFonts w:ascii="Times New Roman" w:hAnsi="Times New Roman" w:cs="Times New Roman"/>
          <w:szCs w:val="32"/>
        </w:rPr>
        <w:t>2015</w:t>
      </w:r>
      <w:r>
        <w:rPr>
          <w:rFonts w:ascii="仿宋_GB2312" w:hAnsi="仿宋_GB2312" w:cs="仿宋_GB2312" w:hint="eastAsia"/>
          <w:szCs w:val="32"/>
        </w:rPr>
        <w:t>年，天津市发布《市教委等十六部门关于印发建立健全天津市中小学校和幼儿园校舍安全保障长效机制的意见的通知》（津教委〔</w:t>
      </w:r>
      <w:r>
        <w:rPr>
          <w:rFonts w:ascii="Times New Roman" w:hAnsi="Times New Roman" w:cs="Times New Roman" w:hint="eastAsia"/>
          <w:szCs w:val="32"/>
        </w:rPr>
        <w:t>2015</w:t>
      </w:r>
      <w:r>
        <w:rPr>
          <w:rFonts w:ascii="仿宋_GB2312" w:hAnsi="仿宋_GB2312" w:cs="仿宋_GB2312" w:hint="eastAsia"/>
          <w:szCs w:val="32"/>
        </w:rPr>
        <w:t>〕</w:t>
      </w:r>
      <w:r>
        <w:rPr>
          <w:rFonts w:ascii="Times New Roman" w:hAnsi="Times New Roman" w:cs="Times New Roman" w:hint="eastAsia"/>
          <w:szCs w:val="32"/>
        </w:rPr>
        <w:t>12</w:t>
      </w:r>
      <w:r>
        <w:rPr>
          <w:rFonts w:ascii="仿宋_GB2312" w:hAnsi="仿宋_GB2312" w:cs="仿宋_GB2312" w:hint="eastAsia"/>
          <w:szCs w:val="32"/>
        </w:rPr>
        <w:t>号），明确规定“各区县政府要将保障学校校舍安全资金纳入财政预算，统筹各类校舍建设项目，使用好本区县自有资金，以及市对区县财政教育一般性转移支付资金，义务教育经费保障机制改革资金，做好本地区中小学校、幼儿园校舍安全保障工作，并向基础薄弱的地区和学校倾斜。”本项目依据以上文件执行，项目立项依据充分，符合法律法规、相关政策、发展规划以及部门职责。</w:t>
      </w:r>
    </w:p>
    <w:p w14:paraId="67B0AD7C" w14:textId="77777777" w:rsidR="008A2195" w:rsidRDefault="004000F0">
      <w:pPr>
        <w:ind w:firstLineChars="200" w:firstLine="632"/>
        <w:rPr>
          <w:rFonts w:ascii="仿宋_GB2312" w:hAnsi="仿宋_GB2312" w:cs="仿宋_GB2312"/>
          <w:szCs w:val="32"/>
        </w:rPr>
      </w:pPr>
      <w:r>
        <w:rPr>
          <w:rFonts w:ascii="Times New Roman" w:hAnsi="Times New Roman" w:cs="Times New Roman"/>
          <w:szCs w:val="32"/>
        </w:rPr>
        <w:t>2.</w:t>
      </w:r>
      <w:r>
        <w:rPr>
          <w:rFonts w:ascii="Times New Roman" w:hAnsi="Times New Roman" w:cs="Times New Roman"/>
          <w:szCs w:val="32"/>
        </w:rPr>
        <w:t>项目绩效目标分析</w:t>
      </w:r>
    </w:p>
    <w:p w14:paraId="7FFC6BEC" w14:textId="77777777" w:rsidR="008A2195" w:rsidRDefault="004000F0">
      <w:pPr>
        <w:ind w:firstLineChars="200" w:firstLine="632"/>
        <w:rPr>
          <w:rFonts w:ascii="仿宋_GB2312" w:hAnsi="仿宋_GB2312" w:cs="仿宋_GB2312"/>
          <w:szCs w:val="32"/>
        </w:rPr>
      </w:pPr>
      <w:r>
        <w:rPr>
          <w:rFonts w:ascii="仿宋_GB2312" w:hAnsi="仿宋_GB2312" w:cs="仿宋_GB2312" w:hint="eastAsia"/>
          <w:szCs w:val="32"/>
        </w:rPr>
        <w:t>根据《校舍安全保障长效机制项目支出绩效自评表》年度总体目标是“进一步改善学校的办学条件，通过校舍的修缮，延长房屋使用年限，保障师生的生命、财产安全。”绩效目标主要产出指标是“修缮学校1所”，主要效益指标是“辐射周边、方便群众，扩大教育资源”。项目绩效目标基本完整；项目绩效目标与实际工作内容具有相关性；项目预期产出效益和效果基本符合正常的业绩水平。</w:t>
      </w:r>
    </w:p>
    <w:p w14:paraId="11C542EF" w14:textId="77777777" w:rsidR="008A2195" w:rsidRDefault="004000F0">
      <w:pPr>
        <w:ind w:firstLineChars="200" w:firstLine="632"/>
        <w:rPr>
          <w:rFonts w:ascii="仿宋_GB2312" w:hAnsi="仿宋_GB2312" w:cs="仿宋_GB2312"/>
          <w:szCs w:val="32"/>
        </w:rPr>
      </w:pPr>
      <w:r>
        <w:rPr>
          <w:rFonts w:ascii="仿宋_GB2312" w:hAnsi="仿宋_GB2312" w:cs="仿宋_GB2312"/>
          <w:szCs w:val="32"/>
        </w:rPr>
        <w:t>《校舍安全保障长效机制项目支出绩效自评表》、《校舍安</w:t>
      </w:r>
      <w:r>
        <w:rPr>
          <w:rFonts w:ascii="仿宋_GB2312" w:hAnsi="仿宋_GB2312" w:cs="仿宋_GB2312"/>
          <w:szCs w:val="32"/>
        </w:rPr>
        <w:lastRenderedPageBreak/>
        <w:t>全保障长效机制项目支出绩效自评报告》，本项目设立的产出指标包括</w:t>
      </w:r>
      <w:r>
        <w:rPr>
          <w:rFonts w:ascii="仿宋_GB2312" w:hAnsi="仿宋_GB2312" w:cs="仿宋_GB2312" w:hint="eastAsia"/>
          <w:szCs w:val="32"/>
        </w:rPr>
        <w:t>“</w:t>
      </w:r>
      <w:r>
        <w:rPr>
          <w:rFonts w:ascii="Times New Roman" w:hAnsi="Times New Roman" w:cs="Times New Roman"/>
          <w:szCs w:val="32"/>
        </w:rPr>
        <w:t>修缮学校数量</w:t>
      </w:r>
      <w:r>
        <w:rPr>
          <w:rFonts w:ascii="Times New Roman" w:hAnsi="Times New Roman" w:cs="Times New Roman"/>
          <w:szCs w:val="32"/>
        </w:rPr>
        <w:t>1</w:t>
      </w:r>
      <w:r>
        <w:rPr>
          <w:rFonts w:ascii="Times New Roman" w:hAnsi="Times New Roman" w:cs="Times New Roman"/>
          <w:szCs w:val="32"/>
        </w:rPr>
        <w:t>所、工程质量合格率</w:t>
      </w:r>
      <w:r>
        <w:rPr>
          <w:rFonts w:ascii="Times New Roman" w:hAnsi="Times New Roman" w:cs="Times New Roman"/>
          <w:szCs w:val="32"/>
        </w:rPr>
        <w:t>100%</w:t>
      </w:r>
      <w:r>
        <w:rPr>
          <w:rFonts w:ascii="Times New Roman" w:hAnsi="Times New Roman" w:cs="Times New Roman"/>
          <w:szCs w:val="32"/>
        </w:rPr>
        <w:t>、公开招标率</w:t>
      </w:r>
      <w:r>
        <w:rPr>
          <w:rFonts w:ascii="Times New Roman" w:hAnsi="Times New Roman" w:cs="Times New Roman"/>
          <w:szCs w:val="32"/>
        </w:rPr>
        <w:t>100%</w:t>
      </w:r>
      <w:r>
        <w:rPr>
          <w:rFonts w:ascii="Times New Roman" w:hAnsi="Times New Roman" w:cs="Times New Roman"/>
          <w:szCs w:val="32"/>
        </w:rPr>
        <w:t>、验收合格率</w:t>
      </w:r>
      <w:r>
        <w:rPr>
          <w:rFonts w:ascii="Times New Roman" w:hAnsi="Times New Roman" w:cs="Times New Roman"/>
          <w:szCs w:val="32"/>
        </w:rPr>
        <w:t>100%</w:t>
      </w:r>
      <w:r>
        <w:rPr>
          <w:rFonts w:ascii="Times New Roman" w:hAnsi="Times New Roman" w:cs="Times New Roman"/>
          <w:szCs w:val="32"/>
        </w:rPr>
        <w:t>、工程按期完成率</w:t>
      </w:r>
      <w:r>
        <w:rPr>
          <w:rFonts w:ascii="Times New Roman" w:hAnsi="Times New Roman" w:cs="Times New Roman"/>
          <w:szCs w:val="32"/>
        </w:rPr>
        <w:t>100%</w:t>
      </w:r>
      <w:r>
        <w:rPr>
          <w:rFonts w:ascii="仿宋_GB2312" w:hAnsi="仿宋_GB2312" w:cs="仿宋_GB2312" w:hint="eastAsia"/>
          <w:szCs w:val="32"/>
        </w:rPr>
        <w:t>”。本项目产出目标已细化分解为具体的绩效指标且有量化表述。但在效益指标表述上“辐射周边、方便群众，扩大教育资源”过于宽泛，不能用清晰、可衡量的指标</w:t>
      </w:r>
      <w:proofErr w:type="gramStart"/>
      <w:r>
        <w:rPr>
          <w:rFonts w:ascii="仿宋_GB2312" w:hAnsi="仿宋_GB2312" w:cs="仿宋_GB2312" w:hint="eastAsia"/>
          <w:szCs w:val="32"/>
        </w:rPr>
        <w:t>值予以</w:t>
      </w:r>
      <w:proofErr w:type="gramEnd"/>
      <w:r>
        <w:rPr>
          <w:rFonts w:ascii="仿宋_GB2312" w:hAnsi="仿宋_GB2312" w:cs="仿宋_GB2312" w:hint="eastAsia"/>
          <w:szCs w:val="32"/>
        </w:rPr>
        <w:t>体现，不够细致。依据评</w:t>
      </w:r>
      <w:r>
        <w:rPr>
          <w:rFonts w:ascii="Times New Roman" w:hAnsi="Times New Roman" w:cs="Times New Roman"/>
          <w:szCs w:val="32"/>
        </w:rPr>
        <w:t>分标准，绩效目标明确性指标扣</w:t>
      </w:r>
      <w:r>
        <w:rPr>
          <w:rFonts w:ascii="Times New Roman" w:hAnsi="Times New Roman" w:cs="Times New Roman"/>
          <w:szCs w:val="32"/>
        </w:rPr>
        <w:t>1</w:t>
      </w:r>
      <w:r>
        <w:rPr>
          <w:rFonts w:ascii="Times New Roman" w:hAnsi="Times New Roman" w:cs="Times New Roman"/>
          <w:szCs w:val="32"/>
        </w:rPr>
        <w:t>分。</w:t>
      </w:r>
    </w:p>
    <w:p w14:paraId="57A58A96"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szCs w:val="32"/>
        </w:rPr>
        <w:t>资金投入</w:t>
      </w:r>
    </w:p>
    <w:p w14:paraId="04C28C70" w14:textId="77777777" w:rsidR="008A2195" w:rsidRDefault="004000F0">
      <w:pPr>
        <w:ind w:firstLineChars="200" w:firstLine="632"/>
        <w:rPr>
          <w:rFonts w:ascii="仿宋_GB2312" w:hAnsi="仿宋_GB2312" w:cs="仿宋_GB2312"/>
          <w:szCs w:val="32"/>
        </w:rPr>
      </w:pPr>
      <w:r>
        <w:rPr>
          <w:rFonts w:ascii="仿宋_GB2312" w:hAnsi="仿宋_GB2312" w:cs="仿宋_GB2312" w:hint="eastAsia"/>
          <w:szCs w:val="32"/>
        </w:rPr>
        <w:t>根据《关于</w:t>
      </w:r>
      <w:r>
        <w:rPr>
          <w:rFonts w:ascii="Times New Roman" w:hAnsi="Times New Roman" w:cs="Times New Roman" w:hint="eastAsia"/>
          <w:szCs w:val="32"/>
        </w:rPr>
        <w:t>2021</w:t>
      </w:r>
      <w:r>
        <w:rPr>
          <w:rFonts w:ascii="仿宋_GB2312" w:hAnsi="仿宋_GB2312" w:cs="仿宋_GB2312" w:hint="eastAsia"/>
          <w:szCs w:val="32"/>
        </w:rPr>
        <w:t>年部门预算的批复》（</w:t>
      </w:r>
      <w:proofErr w:type="gramStart"/>
      <w:r>
        <w:rPr>
          <w:rFonts w:ascii="仿宋_GB2312" w:hAnsi="仿宋_GB2312" w:cs="仿宋_GB2312" w:hint="eastAsia"/>
          <w:szCs w:val="32"/>
        </w:rPr>
        <w:t>西青财指</w:t>
      </w:r>
      <w:proofErr w:type="gramEnd"/>
      <w:r>
        <w:rPr>
          <w:rFonts w:ascii="仿宋_GB2312" w:hAnsi="仿宋_GB2312" w:cs="仿宋_GB2312" w:hint="eastAsia"/>
          <w:szCs w:val="32"/>
        </w:rPr>
        <w:t>[</w:t>
      </w:r>
      <w:r>
        <w:rPr>
          <w:rFonts w:ascii="Times New Roman" w:hAnsi="Times New Roman" w:cs="Times New Roman" w:hint="eastAsia"/>
          <w:szCs w:val="32"/>
        </w:rPr>
        <w:t>2021</w:t>
      </w:r>
      <w:r>
        <w:rPr>
          <w:rFonts w:ascii="仿宋_GB2312" w:hAnsi="仿宋_GB2312" w:cs="仿宋_GB2312" w:hint="eastAsia"/>
          <w:szCs w:val="32"/>
        </w:rPr>
        <w:t>]</w:t>
      </w:r>
      <w:r>
        <w:rPr>
          <w:rFonts w:ascii="Times New Roman" w:hAnsi="Times New Roman" w:cs="Times New Roman" w:hint="eastAsia"/>
          <w:szCs w:val="32"/>
        </w:rPr>
        <w:t>1</w:t>
      </w:r>
      <w:r>
        <w:rPr>
          <w:rFonts w:ascii="仿宋_GB2312" w:hAnsi="仿宋_GB2312" w:cs="仿宋_GB2312" w:hint="eastAsia"/>
          <w:szCs w:val="32"/>
        </w:rPr>
        <w:t>号），</w:t>
      </w:r>
      <w:r>
        <w:rPr>
          <w:rFonts w:ascii="Times New Roman" w:hAnsi="Times New Roman" w:cs="Times New Roman" w:hint="eastAsia"/>
          <w:szCs w:val="32"/>
        </w:rPr>
        <w:t>本项目年初预算</w:t>
      </w:r>
      <w:r>
        <w:rPr>
          <w:rFonts w:ascii="Times New Roman" w:hAnsi="Times New Roman" w:cs="Times New Roman" w:hint="eastAsia"/>
          <w:szCs w:val="32"/>
        </w:rPr>
        <w:t>200</w:t>
      </w:r>
      <w:r>
        <w:rPr>
          <w:rFonts w:ascii="Times New Roman" w:hAnsi="Times New Roman" w:cs="Times New Roman" w:hint="eastAsia"/>
          <w:szCs w:val="32"/>
        </w:rPr>
        <w:t>万元，预算调整资金</w:t>
      </w:r>
      <w:r>
        <w:rPr>
          <w:rFonts w:ascii="Times New Roman" w:hAnsi="Times New Roman" w:cs="Times New Roman" w:hint="eastAsia"/>
          <w:szCs w:val="32"/>
        </w:rPr>
        <w:t>231.2</w:t>
      </w:r>
      <w:r>
        <w:rPr>
          <w:rFonts w:ascii="Times New Roman" w:hAnsi="Times New Roman" w:cs="Times New Roman" w:hint="eastAsia"/>
          <w:szCs w:val="32"/>
        </w:rPr>
        <w:t>万元，其中中央直达资金</w:t>
      </w:r>
      <w:r>
        <w:rPr>
          <w:rFonts w:ascii="Times New Roman" w:hAnsi="Times New Roman" w:cs="Times New Roman" w:hint="eastAsia"/>
          <w:szCs w:val="32"/>
        </w:rPr>
        <w:t>31.2</w:t>
      </w:r>
      <w:r>
        <w:rPr>
          <w:rFonts w:ascii="Times New Roman" w:hAnsi="Times New Roman" w:cs="Times New Roman" w:hint="eastAsia"/>
          <w:szCs w:val="32"/>
        </w:rPr>
        <w:t>万元，区级财政匹配资金</w:t>
      </w:r>
      <w:r>
        <w:rPr>
          <w:rFonts w:ascii="Times New Roman" w:hAnsi="Times New Roman" w:cs="Times New Roman" w:hint="eastAsia"/>
          <w:szCs w:val="32"/>
        </w:rPr>
        <w:t>200</w:t>
      </w:r>
      <w:r>
        <w:rPr>
          <w:rFonts w:ascii="Times New Roman" w:hAnsi="Times New Roman" w:cs="Times New Roman" w:hint="eastAsia"/>
          <w:szCs w:val="32"/>
        </w:rPr>
        <w:t>万元，主要用于</w:t>
      </w:r>
      <w:proofErr w:type="gramStart"/>
      <w:r>
        <w:rPr>
          <w:rFonts w:ascii="Times New Roman" w:hAnsi="Times New Roman" w:cs="Times New Roman" w:hint="eastAsia"/>
          <w:szCs w:val="32"/>
        </w:rPr>
        <w:t>青凝侯小学</w:t>
      </w:r>
      <w:proofErr w:type="gramEnd"/>
      <w:r>
        <w:rPr>
          <w:rFonts w:ascii="Times New Roman" w:hAnsi="Times New Roman" w:cs="Times New Roman" w:hint="eastAsia"/>
          <w:szCs w:val="32"/>
        </w:rPr>
        <w:t>校舍及相关设施进行维修改造。本项目资金分配合理，但预算额度测算依据不够充分，预算确定的项目资金量与工作任务相差较大。依据评分标准，预算编制科学性指标扣</w:t>
      </w:r>
      <w:r>
        <w:rPr>
          <w:rFonts w:ascii="Times New Roman" w:hAnsi="Times New Roman" w:cs="Times New Roman" w:hint="eastAsia"/>
          <w:szCs w:val="32"/>
        </w:rPr>
        <w:t>1</w:t>
      </w:r>
      <w:r>
        <w:rPr>
          <w:rFonts w:ascii="Times New Roman" w:hAnsi="Times New Roman" w:cs="Times New Roman" w:hint="eastAsia"/>
          <w:szCs w:val="32"/>
        </w:rPr>
        <w:t>分。</w:t>
      </w:r>
    </w:p>
    <w:p w14:paraId="36926667"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w:t>
      </w:r>
      <w:r>
        <w:rPr>
          <w:rFonts w:ascii="Times New Roman" w:eastAsia="楷体_GB2312" w:hAnsi="Times New Roman" w:cs="Times New Roman" w:hint="eastAsia"/>
          <w:bCs/>
          <w:szCs w:val="32"/>
        </w:rPr>
        <w:t>二</w:t>
      </w:r>
      <w:r>
        <w:rPr>
          <w:rFonts w:ascii="Times New Roman" w:eastAsia="楷体_GB2312" w:hAnsi="Times New Roman" w:cs="Times New Roman"/>
          <w:bCs/>
          <w:szCs w:val="32"/>
        </w:rPr>
        <w:t>）</w:t>
      </w:r>
      <w:r>
        <w:rPr>
          <w:rFonts w:ascii="Times New Roman" w:eastAsia="楷体_GB2312" w:hAnsi="Times New Roman" w:cs="Times New Roman" w:hint="eastAsia"/>
          <w:bCs/>
          <w:szCs w:val="32"/>
        </w:rPr>
        <w:t>项目过程情况</w:t>
      </w:r>
    </w:p>
    <w:p w14:paraId="296F3C5C"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过程指标主要从资金管理、组织实施等两个方面分析，其中资金管理指标下设资金到位率、预算执行率、资金使用合</w:t>
      </w:r>
      <w:proofErr w:type="gramStart"/>
      <w:r>
        <w:rPr>
          <w:rFonts w:ascii="Times New Roman" w:hAnsi="Times New Roman" w:cs="Times New Roman"/>
          <w:szCs w:val="32"/>
        </w:rPr>
        <w:t>规</w:t>
      </w:r>
      <w:proofErr w:type="gramEnd"/>
      <w:r>
        <w:rPr>
          <w:rFonts w:ascii="Times New Roman" w:hAnsi="Times New Roman" w:cs="Times New Roman"/>
          <w:szCs w:val="32"/>
        </w:rPr>
        <w:t>性</w:t>
      </w:r>
      <w:r>
        <w:rPr>
          <w:rFonts w:ascii="Times New Roman" w:hAnsi="Times New Roman" w:cs="Times New Roman"/>
          <w:szCs w:val="32"/>
        </w:rPr>
        <w:t>3</w:t>
      </w:r>
      <w:r>
        <w:rPr>
          <w:rFonts w:ascii="Times New Roman" w:hAnsi="Times New Roman" w:cs="Times New Roman"/>
          <w:szCs w:val="32"/>
        </w:rPr>
        <w:t>个三级指标，组织实施指标下设管理制度健全性、制度执行有效性</w:t>
      </w:r>
      <w:r>
        <w:rPr>
          <w:rFonts w:ascii="Times New Roman" w:hAnsi="Times New Roman" w:cs="Times New Roman"/>
          <w:szCs w:val="32"/>
        </w:rPr>
        <w:t>2</w:t>
      </w:r>
      <w:r>
        <w:rPr>
          <w:rFonts w:ascii="Times New Roman" w:hAnsi="Times New Roman" w:cs="Times New Roman"/>
          <w:szCs w:val="32"/>
        </w:rPr>
        <w:t>个三级指标。具体得分情况见下表：</w:t>
      </w:r>
    </w:p>
    <w:p w14:paraId="2B6B5F14" w14:textId="77777777" w:rsidR="008A2195" w:rsidRDefault="008A2195">
      <w:pPr>
        <w:ind w:firstLineChars="200" w:firstLine="632"/>
        <w:rPr>
          <w:rFonts w:ascii="Times New Roman" w:hAnsi="Times New Roman" w:cs="Times New Roman"/>
          <w:szCs w:val="32"/>
        </w:rPr>
      </w:pPr>
    </w:p>
    <w:p w14:paraId="512B4AF2" w14:textId="77777777" w:rsidR="008A2195" w:rsidRDefault="008A2195">
      <w:pPr>
        <w:ind w:firstLineChars="200" w:firstLine="632"/>
        <w:rPr>
          <w:rFonts w:ascii="Times New Roman" w:hAnsi="Times New Roman" w:cs="Times New Roman"/>
          <w:szCs w:val="32"/>
        </w:rPr>
      </w:pPr>
    </w:p>
    <w:tbl>
      <w:tblPr>
        <w:tblW w:w="4998" w:type="pct"/>
        <w:tblLook w:val="04A0" w:firstRow="1" w:lastRow="0" w:firstColumn="1" w:lastColumn="0" w:noHBand="0" w:noVBand="1"/>
      </w:tblPr>
      <w:tblGrid>
        <w:gridCol w:w="1992"/>
        <w:gridCol w:w="2472"/>
        <w:gridCol w:w="3420"/>
        <w:gridCol w:w="1172"/>
      </w:tblGrid>
      <w:tr w:rsidR="008A2195" w14:paraId="0C04346E" w14:textId="77777777">
        <w:trPr>
          <w:trHeight w:val="280"/>
        </w:trPr>
        <w:tc>
          <w:tcPr>
            <w:tcW w:w="109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E7071A"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lastRenderedPageBreak/>
              <w:t>一级评分项</w:t>
            </w:r>
          </w:p>
        </w:tc>
        <w:tc>
          <w:tcPr>
            <w:tcW w:w="13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08141D"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二级评分项</w:t>
            </w:r>
          </w:p>
        </w:tc>
        <w:tc>
          <w:tcPr>
            <w:tcW w:w="188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F861B3"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三级评分项</w:t>
            </w:r>
          </w:p>
        </w:tc>
        <w:tc>
          <w:tcPr>
            <w:tcW w:w="6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C8B63F"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得分</w:t>
            </w:r>
          </w:p>
        </w:tc>
      </w:tr>
      <w:tr w:rsidR="008A2195" w14:paraId="6DD685F6" w14:textId="77777777">
        <w:trPr>
          <w:trHeight w:val="280"/>
        </w:trPr>
        <w:tc>
          <w:tcPr>
            <w:tcW w:w="109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5C1384"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过程（</w:t>
            </w:r>
            <w:r>
              <w:rPr>
                <w:rFonts w:ascii="Times New Roman" w:hAnsi="Times New Roman" w:cs="Times New Roman"/>
                <w:color w:val="000000"/>
                <w:kern w:val="0"/>
                <w:sz w:val="21"/>
                <w:lang w:bidi="ar"/>
              </w:rPr>
              <w:t>15</w:t>
            </w:r>
            <w:r>
              <w:rPr>
                <w:rFonts w:ascii="Times New Roman" w:hAnsi="Times New Roman" w:cs="Times New Roman"/>
                <w:color w:val="000000"/>
                <w:kern w:val="0"/>
                <w:sz w:val="21"/>
                <w:lang w:bidi="ar"/>
              </w:rPr>
              <w:t>分）</w:t>
            </w:r>
          </w:p>
        </w:tc>
        <w:tc>
          <w:tcPr>
            <w:tcW w:w="136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65783A"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资金管理（</w:t>
            </w:r>
            <w:r>
              <w:rPr>
                <w:rFonts w:ascii="Times New Roman" w:hAnsi="Times New Roman" w:cs="Times New Roman"/>
                <w:color w:val="000000"/>
                <w:kern w:val="0"/>
                <w:sz w:val="21"/>
                <w:lang w:bidi="ar"/>
              </w:rPr>
              <w:t>9</w:t>
            </w:r>
            <w:r>
              <w:rPr>
                <w:rFonts w:ascii="Times New Roman" w:hAnsi="Times New Roman" w:cs="Times New Roman"/>
                <w:color w:val="000000"/>
                <w:kern w:val="0"/>
                <w:sz w:val="21"/>
                <w:lang w:bidi="ar"/>
              </w:rPr>
              <w:t>分）</w:t>
            </w:r>
          </w:p>
        </w:tc>
        <w:tc>
          <w:tcPr>
            <w:tcW w:w="18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C20607"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资金到位率（</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6DF82C"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46B7A00E" w14:textId="77777777">
        <w:trPr>
          <w:trHeight w:val="280"/>
        </w:trPr>
        <w:tc>
          <w:tcPr>
            <w:tcW w:w="109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DE2BF2" w14:textId="77777777" w:rsidR="008A2195" w:rsidRDefault="008A2195">
            <w:pPr>
              <w:jc w:val="center"/>
              <w:rPr>
                <w:rFonts w:ascii="Times New Roman" w:hAnsi="Times New Roman" w:cs="Times New Roman"/>
                <w:color w:val="000000"/>
                <w:sz w:val="21"/>
              </w:rPr>
            </w:pPr>
          </w:p>
        </w:tc>
        <w:tc>
          <w:tcPr>
            <w:tcW w:w="13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B48CD3D" w14:textId="77777777" w:rsidR="008A2195" w:rsidRDefault="008A2195">
            <w:pPr>
              <w:jc w:val="center"/>
              <w:rPr>
                <w:rFonts w:ascii="Times New Roman" w:hAnsi="Times New Roman" w:cs="Times New Roman"/>
                <w:color w:val="000000"/>
                <w:sz w:val="21"/>
              </w:rPr>
            </w:pPr>
          </w:p>
        </w:tc>
        <w:tc>
          <w:tcPr>
            <w:tcW w:w="18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F66D55"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预算执行率（</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CD3D5A"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1.33</w:t>
            </w:r>
          </w:p>
        </w:tc>
      </w:tr>
      <w:tr w:rsidR="008A2195" w14:paraId="5301E79A" w14:textId="77777777">
        <w:trPr>
          <w:trHeight w:val="520"/>
        </w:trPr>
        <w:tc>
          <w:tcPr>
            <w:tcW w:w="109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840464" w14:textId="77777777" w:rsidR="008A2195" w:rsidRDefault="008A2195">
            <w:pPr>
              <w:jc w:val="center"/>
              <w:rPr>
                <w:rFonts w:ascii="Times New Roman" w:hAnsi="Times New Roman" w:cs="Times New Roman"/>
                <w:color w:val="000000"/>
                <w:sz w:val="21"/>
              </w:rPr>
            </w:pPr>
          </w:p>
        </w:tc>
        <w:tc>
          <w:tcPr>
            <w:tcW w:w="13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A938DC" w14:textId="77777777" w:rsidR="008A2195" w:rsidRDefault="008A2195">
            <w:pPr>
              <w:jc w:val="center"/>
              <w:rPr>
                <w:rFonts w:ascii="Times New Roman" w:hAnsi="Times New Roman" w:cs="Times New Roman"/>
                <w:color w:val="000000"/>
                <w:sz w:val="21"/>
              </w:rPr>
            </w:pPr>
          </w:p>
        </w:tc>
        <w:tc>
          <w:tcPr>
            <w:tcW w:w="18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F7232B"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资金使用合</w:t>
            </w:r>
            <w:proofErr w:type="gramStart"/>
            <w:r>
              <w:rPr>
                <w:rFonts w:ascii="Times New Roman" w:hAnsi="Times New Roman" w:cs="Times New Roman"/>
                <w:color w:val="000000"/>
                <w:kern w:val="0"/>
                <w:sz w:val="21"/>
                <w:lang w:bidi="ar"/>
              </w:rPr>
              <w:t>规</w:t>
            </w:r>
            <w:proofErr w:type="gramEnd"/>
            <w:r>
              <w:rPr>
                <w:rFonts w:ascii="Times New Roman" w:hAnsi="Times New Roman" w:cs="Times New Roman"/>
                <w:color w:val="000000"/>
                <w:kern w:val="0"/>
                <w:sz w:val="21"/>
                <w:lang w:bidi="ar"/>
              </w:rPr>
              <w:t>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0CFAE4"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53D72D89" w14:textId="77777777">
        <w:trPr>
          <w:trHeight w:val="520"/>
        </w:trPr>
        <w:tc>
          <w:tcPr>
            <w:tcW w:w="109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1ED2A5" w14:textId="77777777" w:rsidR="008A2195" w:rsidRDefault="008A2195">
            <w:pPr>
              <w:jc w:val="center"/>
              <w:rPr>
                <w:rFonts w:ascii="Times New Roman" w:hAnsi="Times New Roman" w:cs="Times New Roman"/>
                <w:color w:val="000000"/>
                <w:sz w:val="21"/>
              </w:rPr>
            </w:pPr>
          </w:p>
        </w:tc>
        <w:tc>
          <w:tcPr>
            <w:tcW w:w="136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83B34C"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组织实施（</w:t>
            </w:r>
            <w:r>
              <w:rPr>
                <w:rFonts w:ascii="Times New Roman" w:hAnsi="Times New Roman" w:cs="Times New Roman"/>
                <w:color w:val="000000"/>
                <w:kern w:val="0"/>
                <w:sz w:val="21"/>
                <w:lang w:bidi="ar"/>
              </w:rPr>
              <w:t>6</w:t>
            </w:r>
            <w:r>
              <w:rPr>
                <w:rFonts w:ascii="Times New Roman" w:hAnsi="Times New Roman" w:cs="Times New Roman"/>
                <w:color w:val="000000"/>
                <w:kern w:val="0"/>
                <w:sz w:val="21"/>
                <w:lang w:bidi="ar"/>
              </w:rPr>
              <w:t>分）</w:t>
            </w:r>
          </w:p>
        </w:tc>
        <w:tc>
          <w:tcPr>
            <w:tcW w:w="18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823CA8"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管理制度健全性（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5DCEE6"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1A9A4406" w14:textId="77777777">
        <w:trPr>
          <w:trHeight w:val="280"/>
        </w:trPr>
        <w:tc>
          <w:tcPr>
            <w:tcW w:w="1099"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FAD4C3" w14:textId="77777777" w:rsidR="008A2195" w:rsidRDefault="008A2195">
            <w:pPr>
              <w:jc w:val="center"/>
              <w:rPr>
                <w:rFonts w:ascii="Times New Roman" w:hAnsi="Times New Roman" w:cs="Times New Roman"/>
                <w:color w:val="000000"/>
                <w:sz w:val="21"/>
              </w:rPr>
            </w:pPr>
          </w:p>
        </w:tc>
        <w:tc>
          <w:tcPr>
            <w:tcW w:w="136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C0F736" w14:textId="77777777" w:rsidR="008A2195" w:rsidRDefault="008A2195">
            <w:pPr>
              <w:jc w:val="center"/>
              <w:rPr>
                <w:rFonts w:ascii="Times New Roman" w:hAnsi="Times New Roman" w:cs="Times New Roman"/>
                <w:color w:val="000000"/>
                <w:sz w:val="21"/>
              </w:rPr>
            </w:pPr>
          </w:p>
        </w:tc>
        <w:tc>
          <w:tcPr>
            <w:tcW w:w="188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D89933"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制度执行有效性（</w:t>
            </w:r>
            <w:r>
              <w:rPr>
                <w:rFonts w:ascii="Times New Roman" w:hAnsi="Times New Roman" w:cs="Times New Roman"/>
                <w:color w:val="000000"/>
                <w:kern w:val="0"/>
                <w:sz w:val="21"/>
                <w:lang w:bidi="ar"/>
              </w:rPr>
              <w:t>3</w:t>
            </w:r>
            <w:r>
              <w:rPr>
                <w:rFonts w:ascii="Times New Roman" w:hAnsi="Times New Roman" w:cs="Times New Roman"/>
                <w:color w:val="000000"/>
                <w:kern w:val="0"/>
                <w:sz w:val="21"/>
                <w:lang w:bidi="ar"/>
              </w:rPr>
              <w:t>分）</w:t>
            </w:r>
          </w:p>
        </w:tc>
        <w:tc>
          <w:tcPr>
            <w:tcW w:w="64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7A22EA"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278DA99C" w14:textId="77777777">
        <w:trPr>
          <w:trHeight w:val="280"/>
        </w:trPr>
        <w:tc>
          <w:tcPr>
            <w:tcW w:w="4352"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306BEE"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合计</w:t>
            </w:r>
          </w:p>
        </w:tc>
        <w:tc>
          <w:tcPr>
            <w:tcW w:w="64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A94374"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13.33</w:t>
            </w:r>
          </w:p>
        </w:tc>
      </w:tr>
    </w:tbl>
    <w:p w14:paraId="00B091E1"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1</w:t>
      </w:r>
      <w:r>
        <w:rPr>
          <w:rFonts w:ascii="Times New Roman" w:hAnsi="Times New Roman" w:cs="Times New Roman"/>
          <w:szCs w:val="32"/>
        </w:rPr>
        <w:t>.</w:t>
      </w:r>
      <w:r>
        <w:rPr>
          <w:rFonts w:ascii="Times New Roman" w:hAnsi="Times New Roman" w:cs="Times New Roman" w:hint="eastAsia"/>
          <w:szCs w:val="32"/>
        </w:rPr>
        <w:t>资金管理</w:t>
      </w:r>
    </w:p>
    <w:p w14:paraId="10D90DCD"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绩效评价工作组现场</w:t>
      </w:r>
      <w:r>
        <w:rPr>
          <w:rFonts w:ascii="Times New Roman" w:hAnsi="Times New Roman" w:cs="Times New Roman" w:hint="eastAsia"/>
          <w:szCs w:val="32"/>
        </w:rPr>
        <w:t>查阅了本</w:t>
      </w:r>
      <w:r>
        <w:rPr>
          <w:rFonts w:ascii="Times New Roman" w:hAnsi="Times New Roman" w:cs="Times New Roman"/>
          <w:szCs w:val="32"/>
        </w:rPr>
        <w:t>项目</w:t>
      </w:r>
      <w:r>
        <w:rPr>
          <w:rFonts w:ascii="Times New Roman" w:hAnsi="Times New Roman" w:cs="Times New Roman" w:hint="eastAsia"/>
          <w:szCs w:val="32"/>
        </w:rPr>
        <w:t>相关的</w:t>
      </w:r>
      <w:r>
        <w:rPr>
          <w:rFonts w:ascii="Times New Roman" w:hAnsi="Times New Roman" w:cs="Times New Roman"/>
          <w:szCs w:val="32"/>
        </w:rPr>
        <w:t>明细账及</w:t>
      </w:r>
      <w:r>
        <w:rPr>
          <w:rFonts w:ascii="Times New Roman" w:hAnsi="Times New Roman" w:cs="Times New Roman" w:hint="eastAsia"/>
          <w:szCs w:val="32"/>
        </w:rPr>
        <w:t>财务</w:t>
      </w:r>
      <w:r>
        <w:rPr>
          <w:rFonts w:ascii="Times New Roman" w:hAnsi="Times New Roman" w:cs="Times New Roman"/>
          <w:szCs w:val="32"/>
        </w:rPr>
        <w:t>凭证，截止</w:t>
      </w:r>
      <w:r>
        <w:rPr>
          <w:rFonts w:ascii="Times New Roman" w:hAnsi="Times New Roman" w:cs="Times New Roman"/>
          <w:szCs w:val="32"/>
        </w:rPr>
        <w:t>2021</w:t>
      </w:r>
      <w:r>
        <w:rPr>
          <w:rFonts w:ascii="Times New Roman" w:hAnsi="Times New Roman" w:cs="Times New Roman"/>
          <w:szCs w:val="32"/>
        </w:rPr>
        <w:t>年</w:t>
      </w:r>
      <w:r>
        <w:rPr>
          <w:rFonts w:ascii="Times New Roman" w:hAnsi="Times New Roman" w:cs="Times New Roman"/>
          <w:szCs w:val="32"/>
        </w:rPr>
        <w:t>12</w:t>
      </w:r>
      <w:r>
        <w:rPr>
          <w:rFonts w:ascii="Times New Roman" w:hAnsi="Times New Roman" w:cs="Times New Roman"/>
          <w:szCs w:val="32"/>
        </w:rPr>
        <w:t>月</w:t>
      </w:r>
      <w:r>
        <w:rPr>
          <w:rFonts w:ascii="Times New Roman" w:hAnsi="Times New Roman" w:cs="Times New Roman"/>
          <w:szCs w:val="32"/>
        </w:rPr>
        <w:t>31</w:t>
      </w:r>
      <w:r>
        <w:rPr>
          <w:rFonts w:ascii="Times New Roman" w:hAnsi="Times New Roman" w:cs="Times New Roman"/>
          <w:szCs w:val="32"/>
        </w:rPr>
        <w:t>日，项目到账总金额</w:t>
      </w:r>
      <w:r>
        <w:rPr>
          <w:rFonts w:ascii="Times New Roman" w:hAnsi="Times New Roman" w:cs="Times New Roman"/>
          <w:szCs w:val="32"/>
        </w:rPr>
        <w:t>102</w:t>
      </w:r>
      <w:r>
        <w:rPr>
          <w:rFonts w:ascii="Times New Roman" w:hAnsi="Times New Roman" w:cs="Times New Roman" w:hint="eastAsia"/>
          <w:szCs w:val="32"/>
        </w:rPr>
        <w:t>.</w:t>
      </w:r>
      <w:r>
        <w:rPr>
          <w:rFonts w:ascii="Times New Roman" w:hAnsi="Times New Roman" w:cs="Times New Roman"/>
          <w:szCs w:val="32"/>
        </w:rPr>
        <w:t>652</w:t>
      </w:r>
      <w:r>
        <w:rPr>
          <w:rFonts w:ascii="Times New Roman" w:hAnsi="Times New Roman" w:cs="Times New Roman"/>
          <w:szCs w:val="32"/>
        </w:rPr>
        <w:t>万元，资金到位率</w:t>
      </w:r>
      <w:r>
        <w:rPr>
          <w:rFonts w:ascii="Times New Roman" w:hAnsi="Times New Roman" w:cs="Times New Roman"/>
          <w:szCs w:val="32"/>
        </w:rPr>
        <w:t>100%</w:t>
      </w:r>
      <w:r>
        <w:rPr>
          <w:rFonts w:ascii="Times New Roman" w:hAnsi="Times New Roman" w:cs="Times New Roman" w:hint="eastAsia"/>
          <w:szCs w:val="32"/>
        </w:rPr>
        <w:t>，</w:t>
      </w:r>
      <w:r>
        <w:rPr>
          <w:rFonts w:ascii="Times New Roman" w:hAnsi="Times New Roman" w:cs="Times New Roman"/>
          <w:szCs w:val="32"/>
        </w:rPr>
        <w:t>实际支</w:t>
      </w:r>
      <w:r>
        <w:rPr>
          <w:rFonts w:ascii="Times New Roman" w:hAnsi="Times New Roman" w:cs="Times New Roman" w:hint="eastAsia"/>
          <w:szCs w:val="32"/>
        </w:rPr>
        <w:t>付款项</w:t>
      </w:r>
      <w:r>
        <w:rPr>
          <w:rFonts w:ascii="Times New Roman" w:hAnsi="Times New Roman" w:cs="Times New Roman"/>
          <w:szCs w:val="32"/>
        </w:rPr>
        <w:t>占预算资金的</w:t>
      </w:r>
      <w:r>
        <w:rPr>
          <w:rFonts w:ascii="Times New Roman" w:hAnsi="Times New Roman" w:cs="Times New Roman"/>
          <w:szCs w:val="32"/>
        </w:rPr>
        <w:t>4</w:t>
      </w:r>
      <w:r>
        <w:rPr>
          <w:rFonts w:ascii="Times New Roman" w:hAnsi="Times New Roman" w:cs="Times New Roman" w:hint="eastAsia"/>
          <w:szCs w:val="32"/>
        </w:rPr>
        <w:t>4.40</w:t>
      </w:r>
      <w:r>
        <w:rPr>
          <w:rFonts w:ascii="Times New Roman" w:hAnsi="Times New Roman" w:cs="Times New Roman"/>
          <w:szCs w:val="32"/>
        </w:rPr>
        <w:t>%</w:t>
      </w:r>
      <w:r>
        <w:rPr>
          <w:rFonts w:ascii="Times New Roman" w:hAnsi="Times New Roman" w:cs="Times New Roman"/>
          <w:szCs w:val="32"/>
        </w:rPr>
        <w:t>。</w:t>
      </w:r>
      <w:r>
        <w:rPr>
          <w:rFonts w:ascii="Times New Roman" w:hAnsi="Times New Roman" w:cs="Times New Roman" w:hint="eastAsia"/>
          <w:szCs w:val="32"/>
        </w:rPr>
        <w:t>资金支付方式均为财政授权支付，零余额额度账户结算。依据评分标准，预算执行率指标扣</w:t>
      </w:r>
      <w:r>
        <w:rPr>
          <w:rFonts w:ascii="Times New Roman" w:hAnsi="Times New Roman" w:cs="Times New Roman" w:hint="eastAsia"/>
          <w:szCs w:val="32"/>
        </w:rPr>
        <w:t>1.67</w:t>
      </w:r>
      <w:r>
        <w:rPr>
          <w:rFonts w:ascii="Times New Roman" w:hAnsi="Times New Roman" w:cs="Times New Roman" w:hint="eastAsia"/>
          <w:szCs w:val="32"/>
        </w:rPr>
        <w:t>分。</w:t>
      </w:r>
    </w:p>
    <w:p w14:paraId="71F339A1" w14:textId="77777777" w:rsidR="008A2195" w:rsidRDefault="004000F0">
      <w:pPr>
        <w:widowControl/>
        <w:ind w:firstLineChars="200" w:firstLine="632"/>
        <w:rPr>
          <w:rFonts w:ascii="Times New Roman" w:hAnsi="Times New Roman" w:cs="Times New Roman"/>
          <w:color w:val="000000"/>
          <w:kern w:val="0"/>
          <w:szCs w:val="32"/>
          <w:lang w:bidi="ar"/>
        </w:rPr>
      </w:pPr>
      <w:r>
        <w:rPr>
          <w:rFonts w:ascii="Times New Roman" w:hAnsi="Times New Roman" w:cs="Times New Roman"/>
          <w:color w:val="000000"/>
          <w:kern w:val="0"/>
          <w:szCs w:val="32"/>
          <w:lang w:bidi="ar"/>
        </w:rPr>
        <w:t>经</w:t>
      </w:r>
      <w:r>
        <w:rPr>
          <w:rFonts w:ascii="Times New Roman" w:hAnsi="Times New Roman" w:cs="Times New Roman"/>
          <w:szCs w:val="32"/>
        </w:rPr>
        <w:t>绩效评价工作组</w:t>
      </w:r>
      <w:r>
        <w:rPr>
          <w:rFonts w:ascii="Times New Roman" w:hAnsi="Times New Roman" w:cs="Times New Roman"/>
          <w:color w:val="000000"/>
          <w:kern w:val="0"/>
          <w:szCs w:val="32"/>
          <w:lang w:bidi="ar"/>
        </w:rPr>
        <w:t>现场审核，</w:t>
      </w:r>
      <w:r>
        <w:rPr>
          <w:rFonts w:ascii="Times New Roman" w:hAnsi="Times New Roman" w:cs="Times New Roman" w:hint="eastAsia"/>
          <w:color w:val="000000"/>
          <w:kern w:val="0"/>
          <w:szCs w:val="32"/>
          <w:lang w:bidi="ar"/>
        </w:rPr>
        <w:t>本项目</w:t>
      </w:r>
      <w:r>
        <w:rPr>
          <w:rFonts w:ascii="Times New Roman" w:hAnsi="Times New Roman" w:cs="Times New Roman"/>
          <w:color w:val="000000"/>
          <w:kern w:val="0"/>
          <w:szCs w:val="32"/>
          <w:lang w:bidi="ar"/>
        </w:rPr>
        <w:t>财政拨款收入符合国家财经法规和财务管理制度以及有关专项资金管理办法的规定，</w:t>
      </w:r>
      <w:r>
        <w:rPr>
          <w:rFonts w:ascii="Times New Roman" w:hAnsi="Times New Roman" w:cs="Times New Roman" w:hint="eastAsia"/>
          <w:color w:val="000000"/>
          <w:kern w:val="0"/>
          <w:szCs w:val="32"/>
          <w:lang w:bidi="ar"/>
        </w:rPr>
        <w:t>项目</w:t>
      </w:r>
      <w:r>
        <w:rPr>
          <w:rFonts w:ascii="Times New Roman" w:hAnsi="Times New Roman" w:cs="Times New Roman"/>
          <w:color w:val="000000"/>
          <w:kern w:val="0"/>
          <w:szCs w:val="32"/>
          <w:lang w:bidi="ar"/>
        </w:rPr>
        <w:t>支出符合</w:t>
      </w:r>
      <w:r>
        <w:rPr>
          <w:rFonts w:ascii="Times New Roman" w:hAnsi="Times New Roman" w:cs="Times New Roman" w:hint="eastAsia"/>
          <w:color w:val="000000"/>
          <w:kern w:val="0"/>
          <w:szCs w:val="32"/>
          <w:lang w:bidi="ar"/>
        </w:rPr>
        <w:t>西青区教育局内部控制制度</w:t>
      </w:r>
      <w:r>
        <w:rPr>
          <w:rFonts w:ascii="Times New Roman" w:hAnsi="Times New Roman" w:cs="Times New Roman"/>
          <w:color w:val="000000"/>
          <w:kern w:val="0"/>
          <w:szCs w:val="32"/>
          <w:lang w:bidi="ar"/>
        </w:rPr>
        <w:t>相关规定；对专项资金拨付流程进行核查，资金拨付有完整的审批程序和手续；不存在截留、挤占、挪用、虚列支出等情况</w:t>
      </w:r>
      <w:r>
        <w:rPr>
          <w:rFonts w:ascii="Times New Roman" w:hAnsi="Times New Roman" w:cs="Times New Roman" w:hint="eastAsia"/>
          <w:color w:val="000000"/>
          <w:kern w:val="0"/>
          <w:szCs w:val="32"/>
          <w:lang w:bidi="ar"/>
        </w:rPr>
        <w:t>，</w:t>
      </w:r>
      <w:r>
        <w:rPr>
          <w:rFonts w:ascii="Times New Roman" w:hAnsi="Times New Roman" w:cs="Times New Roman"/>
          <w:color w:val="000000"/>
          <w:kern w:val="0"/>
          <w:szCs w:val="32"/>
          <w:lang w:bidi="ar"/>
        </w:rPr>
        <w:t>做到了专款专用</w:t>
      </w:r>
      <w:r>
        <w:rPr>
          <w:rFonts w:ascii="Times New Roman" w:hAnsi="Times New Roman" w:cs="Times New Roman" w:hint="eastAsia"/>
          <w:color w:val="000000"/>
          <w:kern w:val="0"/>
          <w:szCs w:val="32"/>
          <w:lang w:bidi="ar"/>
        </w:rPr>
        <w:t>。</w:t>
      </w:r>
    </w:p>
    <w:p w14:paraId="1AF6B7C2"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2</w:t>
      </w:r>
      <w:r>
        <w:rPr>
          <w:rFonts w:ascii="Times New Roman" w:hAnsi="Times New Roman" w:cs="Times New Roman"/>
          <w:szCs w:val="32"/>
        </w:rPr>
        <w:t>.</w:t>
      </w:r>
      <w:r>
        <w:rPr>
          <w:rFonts w:ascii="Times New Roman" w:hAnsi="Times New Roman" w:cs="Times New Roman" w:hint="eastAsia"/>
          <w:szCs w:val="32"/>
        </w:rPr>
        <w:t>组织实施</w:t>
      </w:r>
      <w:r>
        <w:rPr>
          <w:rFonts w:ascii="Times New Roman" w:hAnsi="Times New Roman" w:cs="Times New Roman"/>
          <w:szCs w:val="32"/>
        </w:rPr>
        <w:t>情况分析</w:t>
      </w:r>
    </w:p>
    <w:p w14:paraId="05F45CAE"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项目实施单位西青区教育局的财务和业务管理制度较为健全，制定了《天津市西青区教育局采购管理办法》、《天津市西青区教育局建设项目管理制度》等相关内部管理制度，且内部管</w:t>
      </w:r>
      <w:r>
        <w:rPr>
          <w:rFonts w:ascii="Times New Roman" w:hAnsi="Times New Roman" w:cs="Times New Roman" w:hint="eastAsia"/>
          <w:szCs w:val="32"/>
        </w:rPr>
        <w:lastRenderedPageBreak/>
        <w:t>理制度合法、合</w:t>
      </w:r>
      <w:proofErr w:type="gramStart"/>
      <w:r>
        <w:rPr>
          <w:rFonts w:ascii="Times New Roman" w:hAnsi="Times New Roman" w:cs="Times New Roman" w:hint="eastAsia"/>
          <w:szCs w:val="32"/>
        </w:rPr>
        <w:t>规</w:t>
      </w:r>
      <w:proofErr w:type="gramEnd"/>
      <w:r>
        <w:rPr>
          <w:rFonts w:ascii="Times New Roman" w:hAnsi="Times New Roman" w:cs="Times New Roman" w:hint="eastAsia"/>
          <w:szCs w:val="32"/>
        </w:rPr>
        <w:t>；在实际执行过程中，本项目实行公开、公平、公正的招标办法，选择合格的施工单位，遵守相关法律法规和相关管理规定；项目合同、竣工材料、验收报告、技术鉴定等资料齐全并及时归档；项目实施的人员配置、场地设备等能够落实到位。</w:t>
      </w:r>
    </w:p>
    <w:p w14:paraId="0A943277"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w:t>
      </w:r>
      <w:r>
        <w:rPr>
          <w:rFonts w:ascii="Times New Roman" w:eastAsia="楷体_GB2312" w:hAnsi="Times New Roman" w:cs="Times New Roman" w:hint="eastAsia"/>
          <w:bCs/>
          <w:szCs w:val="32"/>
        </w:rPr>
        <w:t>三</w:t>
      </w:r>
      <w:r>
        <w:rPr>
          <w:rFonts w:ascii="Times New Roman" w:eastAsia="楷体_GB2312" w:hAnsi="Times New Roman" w:cs="Times New Roman"/>
          <w:bCs/>
          <w:szCs w:val="32"/>
        </w:rPr>
        <w:t>）项目</w:t>
      </w:r>
      <w:r>
        <w:rPr>
          <w:rFonts w:ascii="Times New Roman" w:eastAsia="楷体_GB2312" w:hAnsi="Times New Roman" w:cs="Times New Roman" w:hint="eastAsia"/>
          <w:bCs/>
          <w:szCs w:val="32"/>
        </w:rPr>
        <w:t>产出</w:t>
      </w:r>
      <w:r>
        <w:rPr>
          <w:rFonts w:ascii="Times New Roman" w:eastAsia="楷体_GB2312" w:hAnsi="Times New Roman" w:cs="Times New Roman"/>
          <w:bCs/>
          <w:szCs w:val="32"/>
        </w:rPr>
        <w:t>情况分析</w:t>
      </w:r>
    </w:p>
    <w:p w14:paraId="7260BBFF"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产出指标主要从产出数量、产出质量、产出时效、产出成本等四个方面分析，其中产出数量指标下设校舍改造工程实际完成率</w:t>
      </w:r>
      <w:r>
        <w:rPr>
          <w:rFonts w:ascii="Times New Roman" w:hAnsi="Times New Roman" w:cs="Times New Roman" w:hint="eastAsia"/>
          <w:szCs w:val="32"/>
        </w:rPr>
        <w:t>1</w:t>
      </w:r>
      <w:r>
        <w:rPr>
          <w:rFonts w:ascii="Times New Roman" w:hAnsi="Times New Roman" w:cs="Times New Roman" w:hint="eastAsia"/>
          <w:szCs w:val="32"/>
        </w:rPr>
        <w:t>个三级指标，产出质量指标下设校舍改造工程质量验收达标率</w:t>
      </w:r>
      <w:r>
        <w:rPr>
          <w:rFonts w:ascii="Times New Roman" w:hAnsi="Times New Roman" w:cs="Times New Roman" w:hint="eastAsia"/>
          <w:szCs w:val="32"/>
        </w:rPr>
        <w:t>1</w:t>
      </w:r>
      <w:r>
        <w:rPr>
          <w:rFonts w:ascii="Times New Roman" w:hAnsi="Times New Roman" w:cs="Times New Roman" w:hint="eastAsia"/>
          <w:szCs w:val="32"/>
        </w:rPr>
        <w:t>个三级指标，产出时效指标下设校舍改造工程完成及时性</w:t>
      </w:r>
      <w:r>
        <w:rPr>
          <w:rFonts w:ascii="Times New Roman" w:hAnsi="Times New Roman" w:cs="Times New Roman" w:hint="eastAsia"/>
          <w:szCs w:val="32"/>
        </w:rPr>
        <w:t>1</w:t>
      </w:r>
      <w:r>
        <w:rPr>
          <w:rFonts w:ascii="Times New Roman" w:hAnsi="Times New Roman" w:cs="Times New Roman" w:hint="eastAsia"/>
          <w:szCs w:val="32"/>
        </w:rPr>
        <w:t>个三级指标，产出成本指标下设成本节约率</w:t>
      </w:r>
      <w:r>
        <w:rPr>
          <w:rFonts w:ascii="Times New Roman" w:hAnsi="Times New Roman" w:cs="Times New Roman" w:hint="eastAsia"/>
          <w:szCs w:val="32"/>
        </w:rPr>
        <w:t>1</w:t>
      </w:r>
      <w:r>
        <w:rPr>
          <w:rFonts w:ascii="Times New Roman" w:hAnsi="Times New Roman" w:cs="Times New Roman" w:hint="eastAsia"/>
          <w:szCs w:val="32"/>
        </w:rPr>
        <w:t>个三级指标。具体得分情况见下表：</w:t>
      </w:r>
    </w:p>
    <w:tbl>
      <w:tblPr>
        <w:tblW w:w="4998" w:type="pct"/>
        <w:tblLook w:val="04A0" w:firstRow="1" w:lastRow="0" w:firstColumn="1" w:lastColumn="0" w:noHBand="0" w:noVBand="1"/>
      </w:tblPr>
      <w:tblGrid>
        <w:gridCol w:w="1749"/>
        <w:gridCol w:w="2107"/>
        <w:gridCol w:w="4497"/>
        <w:gridCol w:w="703"/>
      </w:tblGrid>
      <w:tr w:rsidR="008A2195" w14:paraId="48455B73" w14:textId="77777777">
        <w:trPr>
          <w:trHeight w:val="278"/>
          <w:tblHeader/>
        </w:trPr>
        <w:tc>
          <w:tcPr>
            <w:tcW w:w="965"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190B65"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一级评分项</w:t>
            </w:r>
          </w:p>
        </w:tc>
        <w:tc>
          <w:tcPr>
            <w:tcW w:w="11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D6C894"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二级评分项</w:t>
            </w:r>
          </w:p>
        </w:tc>
        <w:tc>
          <w:tcPr>
            <w:tcW w:w="2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D9BA04"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三级评分项</w:t>
            </w: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C22D02"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得分</w:t>
            </w:r>
          </w:p>
        </w:tc>
      </w:tr>
      <w:tr w:rsidR="008A2195" w14:paraId="04659158" w14:textId="77777777">
        <w:trPr>
          <w:trHeight w:val="280"/>
        </w:trPr>
        <w:tc>
          <w:tcPr>
            <w:tcW w:w="965"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D22DAF"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11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2F636C"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产出数量（</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2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05FFB3"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校舍改造工程实际完成率（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2F4B38"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0FA5AB5A" w14:textId="77777777">
        <w:trPr>
          <w:trHeight w:val="280"/>
        </w:trPr>
        <w:tc>
          <w:tcPr>
            <w:tcW w:w="965"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8582F5" w14:textId="77777777" w:rsidR="008A2195" w:rsidRDefault="008A2195">
            <w:pPr>
              <w:jc w:val="center"/>
              <w:rPr>
                <w:rFonts w:ascii="Times New Roman" w:hAnsi="Times New Roman" w:cs="Times New Roman"/>
                <w:color w:val="000000"/>
                <w:sz w:val="21"/>
              </w:rPr>
            </w:pPr>
          </w:p>
        </w:tc>
        <w:tc>
          <w:tcPr>
            <w:tcW w:w="11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FDCE5D"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产出质量（</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2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E2AC11"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校舍改造工程质量验收达标率（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EFB955"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1DF3C6C5" w14:textId="77777777">
        <w:trPr>
          <w:trHeight w:val="280"/>
        </w:trPr>
        <w:tc>
          <w:tcPr>
            <w:tcW w:w="965"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AB5B62" w14:textId="77777777" w:rsidR="008A2195" w:rsidRDefault="008A2195">
            <w:pPr>
              <w:jc w:val="center"/>
              <w:rPr>
                <w:rFonts w:ascii="Times New Roman" w:hAnsi="Times New Roman" w:cs="Times New Roman"/>
                <w:color w:val="000000"/>
                <w:sz w:val="21"/>
              </w:rPr>
            </w:pPr>
          </w:p>
        </w:tc>
        <w:tc>
          <w:tcPr>
            <w:tcW w:w="11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5DDA794"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产出时效（</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2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729E9A"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校舍改造工程完成及时性（</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3B3882"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0BE1DD44" w14:textId="77777777">
        <w:trPr>
          <w:trHeight w:val="280"/>
        </w:trPr>
        <w:tc>
          <w:tcPr>
            <w:tcW w:w="965"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1D2AA4" w14:textId="77777777" w:rsidR="008A2195" w:rsidRDefault="008A2195">
            <w:pPr>
              <w:jc w:val="center"/>
              <w:rPr>
                <w:rFonts w:ascii="Times New Roman" w:hAnsi="Times New Roman" w:cs="Times New Roman"/>
                <w:color w:val="000000"/>
                <w:sz w:val="21"/>
              </w:rPr>
            </w:pPr>
          </w:p>
        </w:tc>
        <w:tc>
          <w:tcPr>
            <w:tcW w:w="11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F99C75"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产出成本（</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248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F42E44"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成本节约率（</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9FA09F"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59720A22" w14:textId="77777777">
        <w:trPr>
          <w:trHeight w:val="280"/>
        </w:trPr>
        <w:tc>
          <w:tcPr>
            <w:tcW w:w="4611" w:type="pct"/>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F22396"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合计</w:t>
            </w:r>
          </w:p>
        </w:tc>
        <w:tc>
          <w:tcPr>
            <w:tcW w:w="38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4C1FF0"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20</w:t>
            </w:r>
          </w:p>
        </w:tc>
      </w:tr>
    </w:tbl>
    <w:p w14:paraId="06FBB34A"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1.</w:t>
      </w:r>
      <w:r>
        <w:rPr>
          <w:rFonts w:ascii="Times New Roman" w:hAnsi="Times New Roman" w:cs="Times New Roman" w:hint="eastAsia"/>
          <w:szCs w:val="32"/>
        </w:rPr>
        <w:t>产出数量</w:t>
      </w:r>
    </w:p>
    <w:p w14:paraId="0119D7CE"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本项目主要建设内容是对</w:t>
      </w:r>
      <w:proofErr w:type="gramStart"/>
      <w:r>
        <w:rPr>
          <w:rFonts w:ascii="Times New Roman" w:hAnsi="Times New Roman" w:cs="Times New Roman" w:hint="eastAsia"/>
          <w:szCs w:val="32"/>
        </w:rPr>
        <w:t>青凝侯小学</w:t>
      </w:r>
      <w:proofErr w:type="gramEnd"/>
      <w:r>
        <w:rPr>
          <w:rFonts w:ascii="Times New Roman" w:hAnsi="Times New Roman" w:cs="Times New Roman" w:hint="eastAsia"/>
          <w:szCs w:val="32"/>
        </w:rPr>
        <w:t>校舍及相关设施进行维修改造，招投标工作及工程实施合同正常完成；全过程监理正常完成；主要建设目标已完成，工程验收、空气质量检测正常完</w:t>
      </w:r>
      <w:r>
        <w:rPr>
          <w:rFonts w:ascii="Times New Roman" w:hAnsi="Times New Roman" w:cs="Times New Roman" w:hint="eastAsia"/>
          <w:szCs w:val="32"/>
        </w:rPr>
        <w:lastRenderedPageBreak/>
        <w:t>成；档案建设完成并存档。</w:t>
      </w:r>
    </w:p>
    <w:p w14:paraId="5778BCF8"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2.</w:t>
      </w:r>
      <w:r>
        <w:rPr>
          <w:rFonts w:ascii="Times New Roman" w:hAnsi="Times New Roman" w:cs="Times New Roman" w:hint="eastAsia"/>
          <w:szCs w:val="32"/>
        </w:rPr>
        <w:t>产出质量</w:t>
      </w:r>
    </w:p>
    <w:p w14:paraId="4DF66CB5"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本项目主要建设内容是对</w:t>
      </w:r>
      <w:proofErr w:type="gramStart"/>
      <w:r>
        <w:rPr>
          <w:rFonts w:ascii="Times New Roman" w:hAnsi="Times New Roman" w:cs="Times New Roman" w:hint="eastAsia"/>
          <w:szCs w:val="32"/>
        </w:rPr>
        <w:t>青凝侯小学</w:t>
      </w:r>
      <w:proofErr w:type="gramEnd"/>
      <w:r>
        <w:rPr>
          <w:rFonts w:ascii="Times New Roman" w:hAnsi="Times New Roman" w:cs="Times New Roman" w:hint="eastAsia"/>
          <w:szCs w:val="32"/>
        </w:rPr>
        <w:t>校舍及相关设施进行维修改造，包括：土建工程、给排水工程、采暖工程、电气工程、通风空调工程，经专家验收工程质量合格，合同约定内容基本完成，符合相关规范要求。经问卷调查，学生及家长群体认为维修后的校舍和相关设施能够满足日常教学需要，对工程质量满意度较高。</w:t>
      </w:r>
    </w:p>
    <w:p w14:paraId="01B52F4E"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3.</w:t>
      </w:r>
      <w:r>
        <w:rPr>
          <w:rFonts w:ascii="Times New Roman" w:hAnsi="Times New Roman" w:cs="Times New Roman" w:hint="eastAsia"/>
          <w:szCs w:val="32"/>
        </w:rPr>
        <w:t>产出时效完成及时性</w:t>
      </w:r>
    </w:p>
    <w:p w14:paraId="1EE464C2"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经绩效评价工作组与西青教育局及青凝侯小学相关人员进行访谈、资料查阅及现场勘查了解，各项工程已全部按时完成，计划施工时间为</w:t>
      </w:r>
      <w:r>
        <w:rPr>
          <w:rFonts w:ascii="Times New Roman" w:hAnsi="Times New Roman" w:cs="Times New Roman" w:hint="eastAsia"/>
          <w:szCs w:val="32"/>
        </w:rPr>
        <w:t>2021</w:t>
      </w:r>
      <w:r>
        <w:rPr>
          <w:rFonts w:ascii="Times New Roman" w:hAnsi="Times New Roman" w:cs="Times New Roman" w:hint="eastAsia"/>
          <w:szCs w:val="32"/>
        </w:rPr>
        <w:t>年度暑假，实际施工时间为</w:t>
      </w:r>
      <w:r>
        <w:rPr>
          <w:rFonts w:ascii="Times New Roman" w:hAnsi="Times New Roman" w:cs="Times New Roman" w:hint="eastAsia"/>
          <w:szCs w:val="32"/>
        </w:rPr>
        <w:t>2021</w:t>
      </w:r>
      <w:r>
        <w:rPr>
          <w:rFonts w:ascii="Times New Roman" w:hAnsi="Times New Roman" w:cs="Times New Roman" w:hint="eastAsia"/>
          <w:szCs w:val="32"/>
        </w:rPr>
        <w:t>年度暑假，未影响到</w:t>
      </w:r>
      <w:r>
        <w:rPr>
          <w:rFonts w:ascii="Times New Roman" w:hAnsi="Times New Roman" w:cs="Times New Roman" w:hint="eastAsia"/>
          <w:szCs w:val="32"/>
        </w:rPr>
        <w:t>2021</w:t>
      </w:r>
      <w:r>
        <w:rPr>
          <w:rFonts w:ascii="Times New Roman" w:hAnsi="Times New Roman" w:cs="Times New Roman" w:hint="eastAsia"/>
          <w:szCs w:val="32"/>
        </w:rPr>
        <w:t>年度下半学期教学工作开展，项目完成及时。</w:t>
      </w:r>
    </w:p>
    <w:p w14:paraId="3AFA1A68"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4.</w:t>
      </w:r>
      <w:r>
        <w:rPr>
          <w:rFonts w:ascii="Times New Roman" w:hAnsi="Times New Roman" w:cs="Times New Roman" w:hint="eastAsia"/>
          <w:szCs w:val="32"/>
        </w:rPr>
        <w:t>产出成本节约率</w:t>
      </w:r>
    </w:p>
    <w:p w14:paraId="27D3CD8B" w14:textId="77777777" w:rsidR="008A2195" w:rsidRDefault="004000F0">
      <w:pPr>
        <w:ind w:firstLineChars="200" w:firstLine="632"/>
        <w:rPr>
          <w:rFonts w:ascii="Times New Roman" w:hAnsi="Times New Roman" w:cs="Times New Roman"/>
          <w:szCs w:val="32"/>
          <w:highlight w:val="yellow"/>
        </w:rPr>
      </w:pPr>
      <w:r>
        <w:rPr>
          <w:rFonts w:ascii="Times New Roman" w:hAnsi="Times New Roman" w:cs="Times New Roman" w:hint="eastAsia"/>
          <w:szCs w:val="32"/>
        </w:rPr>
        <w:t>成本节约率</w:t>
      </w:r>
      <w:r>
        <w:rPr>
          <w:rFonts w:ascii="Times New Roman" w:hAnsi="Times New Roman" w:cs="Times New Roman" w:hint="eastAsia"/>
          <w:szCs w:val="32"/>
        </w:rPr>
        <w:t>=</w:t>
      </w:r>
      <w:r>
        <w:rPr>
          <w:rFonts w:ascii="仿宋_GB2312" w:hAnsi="仿宋_GB2312" w:cs="仿宋_GB2312" w:hint="eastAsia"/>
          <w:szCs w:val="32"/>
        </w:rPr>
        <w:t>[</w:t>
      </w:r>
      <w:r>
        <w:rPr>
          <w:rFonts w:ascii="Times New Roman" w:hAnsi="Times New Roman" w:cs="Times New Roman" w:hint="eastAsia"/>
          <w:szCs w:val="32"/>
        </w:rPr>
        <w:t>（计划成本－实际成本）</w:t>
      </w:r>
      <w:r>
        <w:rPr>
          <w:rFonts w:ascii="Times New Roman" w:hAnsi="Times New Roman" w:cs="Times New Roman" w:hint="eastAsia"/>
          <w:szCs w:val="32"/>
        </w:rPr>
        <w:t>/</w:t>
      </w:r>
      <w:r>
        <w:rPr>
          <w:rFonts w:ascii="Times New Roman" w:hAnsi="Times New Roman" w:cs="Times New Roman" w:hint="eastAsia"/>
          <w:szCs w:val="32"/>
        </w:rPr>
        <w:t>计划成本</w:t>
      </w:r>
      <w:r>
        <w:rPr>
          <w:rFonts w:ascii="仿宋_GB2312" w:hAnsi="仿宋_GB2312" w:cs="仿宋_GB2312" w:hint="eastAsia"/>
          <w:szCs w:val="32"/>
        </w:rPr>
        <w:t>]</w:t>
      </w:r>
      <w:r>
        <w:rPr>
          <w:rFonts w:ascii="Times New Roman" w:hAnsi="Times New Roman" w:cs="Times New Roman" w:hint="eastAsia"/>
          <w:szCs w:val="32"/>
        </w:rPr>
        <w:t>×</w:t>
      </w:r>
      <w:r>
        <w:rPr>
          <w:rFonts w:ascii="Times New Roman" w:hAnsi="Times New Roman" w:cs="Times New Roman" w:hint="eastAsia"/>
          <w:szCs w:val="32"/>
        </w:rPr>
        <w:t>100%</w:t>
      </w:r>
      <w:r>
        <w:rPr>
          <w:rFonts w:ascii="Times New Roman" w:hAnsi="Times New Roman" w:cs="Times New Roman" w:hint="eastAsia"/>
          <w:szCs w:val="32"/>
        </w:rPr>
        <w:t>。实际成本：项目实施单位如期、保质、保量完成既定工作目标实际所耗费的支出。计划成本：项目实施单位为完成工作目标计划安排的支出，一般以项目预算为参考。绩效评价工作组通过现场查看会计账簿、相关凭证等资料，核实各项工作已全部按时完成，成本节约率为</w:t>
      </w:r>
      <w:r>
        <w:rPr>
          <w:rFonts w:ascii="Times New Roman" w:hAnsi="Times New Roman" w:cs="Times New Roman" w:hint="eastAsia"/>
          <w:szCs w:val="32"/>
        </w:rPr>
        <w:t>0.00</w:t>
      </w:r>
      <w:r>
        <w:rPr>
          <w:rFonts w:ascii="Times New Roman" w:hAnsi="Times New Roman" w:cs="Times New Roman"/>
          <w:szCs w:val="32"/>
        </w:rPr>
        <w:t>%</w:t>
      </w:r>
      <w:r>
        <w:rPr>
          <w:rFonts w:ascii="Times New Roman" w:hAnsi="Times New Roman" w:cs="Times New Roman" w:hint="eastAsia"/>
          <w:szCs w:val="32"/>
        </w:rPr>
        <w:t>。</w:t>
      </w:r>
    </w:p>
    <w:p w14:paraId="03810519"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bCs/>
          <w:szCs w:val="32"/>
        </w:rPr>
        <w:t>（</w:t>
      </w:r>
      <w:r>
        <w:rPr>
          <w:rFonts w:ascii="Times New Roman" w:eastAsia="楷体_GB2312" w:hAnsi="Times New Roman" w:cs="Times New Roman" w:hint="eastAsia"/>
          <w:bCs/>
          <w:szCs w:val="32"/>
        </w:rPr>
        <w:t>四</w:t>
      </w:r>
      <w:r>
        <w:rPr>
          <w:rFonts w:ascii="Times New Roman" w:eastAsia="楷体_GB2312" w:hAnsi="Times New Roman" w:cs="Times New Roman"/>
          <w:bCs/>
          <w:szCs w:val="32"/>
        </w:rPr>
        <w:t>）项目绩效情况分析</w:t>
      </w:r>
    </w:p>
    <w:p w14:paraId="07AD3B05"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效益指标主要从社会效益、可持续发展、群众满意度三个方</w:t>
      </w:r>
      <w:r>
        <w:rPr>
          <w:rFonts w:ascii="Times New Roman" w:hAnsi="Times New Roman" w:cs="Times New Roman" w:hint="eastAsia"/>
          <w:szCs w:val="32"/>
        </w:rPr>
        <w:lastRenderedPageBreak/>
        <w:t>面分析，其中社会效益指标下设改善办学条件，提高义务教育质量、促进教育均衡发展</w:t>
      </w:r>
      <w:r>
        <w:rPr>
          <w:rFonts w:ascii="Times New Roman" w:hAnsi="Times New Roman" w:cs="Times New Roman" w:hint="eastAsia"/>
          <w:szCs w:val="32"/>
        </w:rPr>
        <w:t>2</w:t>
      </w:r>
      <w:r>
        <w:rPr>
          <w:rFonts w:ascii="Times New Roman" w:hAnsi="Times New Roman" w:cs="Times New Roman" w:hint="eastAsia"/>
          <w:szCs w:val="32"/>
        </w:rPr>
        <w:t>个三级指标，可持续发展指标下设建立校舍安全年检制度、学校建设项目管理水平提高程度、</w:t>
      </w:r>
      <w:proofErr w:type="gramStart"/>
      <w:r>
        <w:rPr>
          <w:rFonts w:ascii="Times New Roman" w:hAnsi="Times New Roman" w:cs="Times New Roman" w:hint="eastAsia"/>
          <w:szCs w:val="32"/>
        </w:rPr>
        <w:t>构建保障中小学校舍安全</w:t>
      </w:r>
      <w:proofErr w:type="gramEnd"/>
      <w:r>
        <w:rPr>
          <w:rFonts w:ascii="Times New Roman" w:hAnsi="Times New Roman" w:cs="Times New Roman" w:hint="eastAsia"/>
          <w:szCs w:val="32"/>
        </w:rPr>
        <w:t>的制度体系</w:t>
      </w:r>
      <w:r>
        <w:rPr>
          <w:rFonts w:ascii="Times New Roman" w:hAnsi="Times New Roman" w:cs="Times New Roman" w:hint="eastAsia"/>
          <w:szCs w:val="32"/>
        </w:rPr>
        <w:t>3</w:t>
      </w:r>
      <w:r>
        <w:rPr>
          <w:rFonts w:ascii="Times New Roman" w:hAnsi="Times New Roman" w:cs="Times New Roman" w:hint="eastAsia"/>
          <w:szCs w:val="32"/>
        </w:rPr>
        <w:t>个三级指标，群众满意度指标下设学生及家长群体满意度</w:t>
      </w:r>
      <w:r>
        <w:rPr>
          <w:rFonts w:ascii="Times New Roman" w:hAnsi="Times New Roman" w:cs="Times New Roman" w:hint="eastAsia"/>
          <w:szCs w:val="32"/>
        </w:rPr>
        <w:t>1</w:t>
      </w:r>
      <w:r>
        <w:rPr>
          <w:rFonts w:ascii="Times New Roman" w:hAnsi="Times New Roman" w:cs="Times New Roman" w:hint="eastAsia"/>
          <w:szCs w:val="32"/>
        </w:rPr>
        <w:t>个三级指标。具体得分情况见下表：</w:t>
      </w:r>
    </w:p>
    <w:tbl>
      <w:tblPr>
        <w:tblW w:w="8806" w:type="dxa"/>
        <w:tblInd w:w="98" w:type="dxa"/>
        <w:tblLayout w:type="fixed"/>
        <w:tblLook w:val="04A0" w:firstRow="1" w:lastRow="0" w:firstColumn="1" w:lastColumn="0" w:noHBand="0" w:noVBand="1"/>
      </w:tblPr>
      <w:tblGrid>
        <w:gridCol w:w="1466"/>
        <w:gridCol w:w="2080"/>
        <w:gridCol w:w="4479"/>
        <w:gridCol w:w="781"/>
      </w:tblGrid>
      <w:tr w:rsidR="008A2195" w14:paraId="3308B90F" w14:textId="77777777">
        <w:trPr>
          <w:trHeight w:val="280"/>
        </w:trPr>
        <w:tc>
          <w:tcPr>
            <w:tcW w:w="14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BDE55E"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一级评分项</w:t>
            </w:r>
          </w:p>
        </w:tc>
        <w:tc>
          <w:tcPr>
            <w:tcW w:w="2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15039D"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二级评分项</w:t>
            </w:r>
          </w:p>
        </w:tc>
        <w:tc>
          <w:tcPr>
            <w:tcW w:w="4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388E47"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三级评分项</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B71761" w14:textId="77777777" w:rsidR="008A2195" w:rsidRDefault="004000F0">
            <w:pPr>
              <w:widowControl/>
              <w:jc w:val="center"/>
              <w:textAlignment w:val="center"/>
              <w:rPr>
                <w:rFonts w:ascii="Times New Roman" w:hAnsi="Times New Roman" w:cs="Times New Roman"/>
                <w:b/>
                <w:bCs/>
                <w:color w:val="000000"/>
                <w:sz w:val="21"/>
              </w:rPr>
            </w:pPr>
            <w:r>
              <w:rPr>
                <w:rFonts w:ascii="Times New Roman" w:hAnsi="Times New Roman" w:cs="Times New Roman"/>
                <w:b/>
                <w:bCs/>
                <w:color w:val="000000"/>
                <w:kern w:val="0"/>
                <w:sz w:val="21"/>
                <w:lang w:bidi="ar"/>
              </w:rPr>
              <w:t>得分</w:t>
            </w:r>
          </w:p>
        </w:tc>
      </w:tr>
      <w:tr w:rsidR="008A2195" w14:paraId="376BEE92" w14:textId="77777777">
        <w:trPr>
          <w:trHeight w:val="280"/>
        </w:trPr>
        <w:tc>
          <w:tcPr>
            <w:tcW w:w="146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B03F9A"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效益（</w:t>
            </w:r>
            <w:r>
              <w:rPr>
                <w:rFonts w:ascii="Times New Roman" w:hAnsi="Times New Roman" w:cs="Times New Roman"/>
                <w:color w:val="000000"/>
                <w:kern w:val="0"/>
                <w:sz w:val="21"/>
                <w:lang w:bidi="ar"/>
              </w:rPr>
              <w:t>45</w:t>
            </w:r>
            <w:r>
              <w:rPr>
                <w:rFonts w:ascii="Times New Roman" w:hAnsi="Times New Roman" w:cs="Times New Roman"/>
                <w:color w:val="000000"/>
                <w:kern w:val="0"/>
                <w:sz w:val="21"/>
                <w:lang w:bidi="ar"/>
              </w:rPr>
              <w:t>分）</w:t>
            </w:r>
          </w:p>
        </w:tc>
        <w:tc>
          <w:tcPr>
            <w:tcW w:w="20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84D7E7"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社会效益（</w:t>
            </w:r>
            <w:r>
              <w:rPr>
                <w:rFonts w:ascii="Times New Roman" w:hAnsi="Times New Roman" w:cs="Times New Roman"/>
                <w:color w:val="000000"/>
                <w:kern w:val="0"/>
                <w:sz w:val="21"/>
                <w:lang w:bidi="ar"/>
              </w:rPr>
              <w:t>10</w:t>
            </w:r>
            <w:r>
              <w:rPr>
                <w:rFonts w:ascii="Times New Roman" w:hAnsi="Times New Roman" w:cs="Times New Roman"/>
                <w:color w:val="000000"/>
                <w:kern w:val="0"/>
                <w:sz w:val="21"/>
                <w:lang w:bidi="ar"/>
              </w:rPr>
              <w:t>分）</w:t>
            </w:r>
          </w:p>
        </w:tc>
        <w:tc>
          <w:tcPr>
            <w:tcW w:w="4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5B948E"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改善办学条件（</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5EEB0C"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13354B7A" w14:textId="77777777">
        <w:trPr>
          <w:trHeight w:val="280"/>
        </w:trPr>
        <w:tc>
          <w:tcPr>
            <w:tcW w:w="14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AC2E41" w14:textId="77777777" w:rsidR="008A2195" w:rsidRDefault="008A2195">
            <w:pPr>
              <w:jc w:val="center"/>
              <w:rPr>
                <w:rFonts w:ascii="Times New Roman" w:hAnsi="Times New Roman" w:cs="Times New Roman"/>
                <w:color w:val="000000"/>
                <w:sz w:val="21"/>
              </w:rPr>
            </w:pPr>
          </w:p>
        </w:tc>
        <w:tc>
          <w:tcPr>
            <w:tcW w:w="208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775DEF" w14:textId="77777777" w:rsidR="008A2195" w:rsidRDefault="008A2195">
            <w:pPr>
              <w:jc w:val="center"/>
              <w:rPr>
                <w:rFonts w:ascii="Times New Roman" w:hAnsi="Times New Roman" w:cs="Times New Roman"/>
                <w:color w:val="000000"/>
                <w:sz w:val="21"/>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5B905D"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提高义务教育质量、促进教育均衡发展（</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BE00E7"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4A25898D" w14:textId="77777777">
        <w:trPr>
          <w:trHeight w:val="280"/>
        </w:trPr>
        <w:tc>
          <w:tcPr>
            <w:tcW w:w="14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9D4B94" w14:textId="77777777" w:rsidR="008A2195" w:rsidRDefault="008A2195">
            <w:pPr>
              <w:jc w:val="center"/>
              <w:rPr>
                <w:rFonts w:ascii="Times New Roman" w:hAnsi="Times New Roman" w:cs="Times New Roman"/>
                <w:color w:val="000000"/>
                <w:sz w:val="21"/>
              </w:rPr>
            </w:pPr>
          </w:p>
        </w:tc>
        <w:tc>
          <w:tcPr>
            <w:tcW w:w="20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6958CF"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可持续发展（</w:t>
            </w:r>
            <w:r>
              <w:rPr>
                <w:rFonts w:ascii="Times New Roman" w:hAnsi="Times New Roman" w:cs="Times New Roman"/>
                <w:color w:val="000000"/>
                <w:kern w:val="0"/>
                <w:sz w:val="21"/>
                <w:lang w:bidi="ar"/>
              </w:rPr>
              <w:t>15</w:t>
            </w:r>
            <w:r>
              <w:rPr>
                <w:rFonts w:ascii="Times New Roman" w:hAnsi="Times New Roman" w:cs="Times New Roman"/>
                <w:color w:val="000000"/>
                <w:kern w:val="0"/>
                <w:sz w:val="21"/>
                <w:lang w:bidi="ar"/>
              </w:rPr>
              <w:t>分）</w:t>
            </w:r>
          </w:p>
        </w:tc>
        <w:tc>
          <w:tcPr>
            <w:tcW w:w="4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80FAB5"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建立校舍安全年检制度（</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1EAED3"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sz w:val="21"/>
              </w:rPr>
              <w:t>5</w:t>
            </w:r>
          </w:p>
        </w:tc>
      </w:tr>
      <w:tr w:rsidR="008A2195" w14:paraId="59182EC7" w14:textId="77777777">
        <w:trPr>
          <w:trHeight w:val="280"/>
        </w:trPr>
        <w:tc>
          <w:tcPr>
            <w:tcW w:w="14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1AC935" w14:textId="77777777" w:rsidR="008A2195" w:rsidRDefault="008A2195">
            <w:pPr>
              <w:jc w:val="center"/>
              <w:rPr>
                <w:rFonts w:ascii="Times New Roman" w:hAnsi="Times New Roman" w:cs="Times New Roman"/>
                <w:color w:val="000000"/>
                <w:sz w:val="21"/>
              </w:rPr>
            </w:pPr>
          </w:p>
        </w:tc>
        <w:tc>
          <w:tcPr>
            <w:tcW w:w="208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A5A7B5" w14:textId="77777777" w:rsidR="008A2195" w:rsidRDefault="008A2195">
            <w:pPr>
              <w:jc w:val="center"/>
              <w:rPr>
                <w:rFonts w:ascii="Times New Roman" w:hAnsi="Times New Roman" w:cs="Times New Roman"/>
                <w:color w:val="000000"/>
                <w:sz w:val="21"/>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1FA01A"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学校建设项目管理水平提高程度（</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DB4A6"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5</w:t>
            </w:r>
          </w:p>
        </w:tc>
      </w:tr>
      <w:tr w:rsidR="008A2195" w14:paraId="404AC5BA" w14:textId="77777777">
        <w:trPr>
          <w:trHeight w:val="280"/>
        </w:trPr>
        <w:tc>
          <w:tcPr>
            <w:tcW w:w="14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C7667B" w14:textId="77777777" w:rsidR="008A2195" w:rsidRDefault="008A2195">
            <w:pPr>
              <w:jc w:val="center"/>
              <w:rPr>
                <w:rFonts w:ascii="Times New Roman" w:hAnsi="Times New Roman" w:cs="Times New Roman"/>
                <w:color w:val="000000"/>
                <w:sz w:val="21"/>
              </w:rPr>
            </w:pPr>
          </w:p>
        </w:tc>
        <w:tc>
          <w:tcPr>
            <w:tcW w:w="208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B33C85" w14:textId="77777777" w:rsidR="008A2195" w:rsidRDefault="008A2195">
            <w:pPr>
              <w:jc w:val="center"/>
              <w:rPr>
                <w:rFonts w:ascii="Times New Roman" w:hAnsi="Times New Roman" w:cs="Times New Roman"/>
                <w:color w:val="000000"/>
                <w:sz w:val="21"/>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25B13A" w14:textId="77777777" w:rsidR="008A2195" w:rsidRDefault="004000F0">
            <w:pPr>
              <w:widowControl/>
              <w:jc w:val="left"/>
              <w:textAlignment w:val="center"/>
              <w:rPr>
                <w:rFonts w:ascii="Times New Roman" w:hAnsi="Times New Roman" w:cs="Times New Roman"/>
                <w:color w:val="000000"/>
                <w:sz w:val="21"/>
              </w:rPr>
            </w:pPr>
            <w:proofErr w:type="gramStart"/>
            <w:r>
              <w:rPr>
                <w:rFonts w:ascii="Times New Roman" w:hAnsi="Times New Roman" w:cs="Times New Roman"/>
                <w:color w:val="000000"/>
                <w:kern w:val="0"/>
                <w:sz w:val="21"/>
                <w:lang w:bidi="ar"/>
              </w:rPr>
              <w:t>构建保障中小学校舍安全</w:t>
            </w:r>
            <w:proofErr w:type="gramEnd"/>
            <w:r>
              <w:rPr>
                <w:rFonts w:ascii="Times New Roman" w:hAnsi="Times New Roman" w:cs="Times New Roman"/>
                <w:color w:val="000000"/>
                <w:kern w:val="0"/>
                <w:sz w:val="21"/>
                <w:lang w:bidi="ar"/>
              </w:rPr>
              <w:t>的制度体系（</w:t>
            </w:r>
            <w:r>
              <w:rPr>
                <w:rFonts w:ascii="Times New Roman" w:hAnsi="Times New Roman" w:cs="Times New Roman"/>
                <w:color w:val="000000"/>
                <w:kern w:val="0"/>
                <w:sz w:val="21"/>
                <w:lang w:bidi="ar"/>
              </w:rPr>
              <w:t>5</w:t>
            </w:r>
            <w:r>
              <w:rPr>
                <w:rFonts w:ascii="Times New Roman" w:hAnsi="Times New Roman" w:cs="Times New Roman"/>
                <w:color w:val="000000"/>
                <w:kern w:val="0"/>
                <w:sz w:val="21"/>
                <w:lang w:bidi="ar"/>
              </w:rPr>
              <w:t>分）</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0CE21A"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3</w:t>
            </w:r>
          </w:p>
        </w:tc>
      </w:tr>
      <w:tr w:rsidR="008A2195" w14:paraId="42948301" w14:textId="77777777">
        <w:trPr>
          <w:trHeight w:val="280"/>
        </w:trPr>
        <w:tc>
          <w:tcPr>
            <w:tcW w:w="146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9058F3" w14:textId="77777777" w:rsidR="008A2195" w:rsidRDefault="008A2195">
            <w:pPr>
              <w:jc w:val="center"/>
              <w:rPr>
                <w:rFonts w:ascii="Times New Roman" w:hAnsi="Times New Roman" w:cs="Times New Roman"/>
                <w:color w:val="000000"/>
                <w:sz w:val="21"/>
              </w:rPr>
            </w:pPr>
          </w:p>
        </w:tc>
        <w:tc>
          <w:tcPr>
            <w:tcW w:w="2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116BA"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群众满意度（</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44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C1BD1B" w14:textId="77777777" w:rsidR="008A2195" w:rsidRDefault="004000F0">
            <w:pPr>
              <w:widowControl/>
              <w:jc w:val="left"/>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学生及家长群体满意度（</w:t>
            </w:r>
            <w:r>
              <w:rPr>
                <w:rFonts w:ascii="Times New Roman" w:hAnsi="Times New Roman" w:cs="Times New Roman"/>
                <w:color w:val="000000"/>
                <w:kern w:val="0"/>
                <w:sz w:val="21"/>
                <w:lang w:bidi="ar"/>
              </w:rPr>
              <w:t>20</w:t>
            </w:r>
            <w:r>
              <w:rPr>
                <w:rFonts w:ascii="Times New Roman" w:hAnsi="Times New Roman" w:cs="Times New Roman"/>
                <w:color w:val="000000"/>
                <w:kern w:val="0"/>
                <w:sz w:val="21"/>
                <w:lang w:bidi="ar"/>
              </w:rPr>
              <w:t>分）</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807EFD"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20</w:t>
            </w:r>
          </w:p>
        </w:tc>
      </w:tr>
      <w:tr w:rsidR="008A2195" w14:paraId="0F1DBA1B" w14:textId="77777777">
        <w:trPr>
          <w:trHeight w:val="280"/>
        </w:trPr>
        <w:tc>
          <w:tcPr>
            <w:tcW w:w="802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72A80F"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kern w:val="0"/>
                <w:sz w:val="21"/>
                <w:lang w:bidi="ar"/>
              </w:rPr>
              <w:t>合计</w:t>
            </w:r>
          </w:p>
        </w:tc>
        <w:tc>
          <w:tcPr>
            <w:tcW w:w="7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A63A78" w14:textId="77777777" w:rsidR="008A2195" w:rsidRDefault="004000F0">
            <w:pPr>
              <w:widowControl/>
              <w:jc w:val="center"/>
              <w:textAlignment w:val="center"/>
              <w:rPr>
                <w:rFonts w:ascii="Times New Roman" w:hAnsi="Times New Roman" w:cs="Times New Roman"/>
                <w:color w:val="000000"/>
                <w:sz w:val="21"/>
              </w:rPr>
            </w:pPr>
            <w:r>
              <w:rPr>
                <w:rFonts w:ascii="Times New Roman" w:hAnsi="Times New Roman" w:cs="Times New Roman"/>
                <w:color w:val="000000"/>
                <w:sz w:val="21"/>
              </w:rPr>
              <w:t>43</w:t>
            </w:r>
          </w:p>
        </w:tc>
      </w:tr>
    </w:tbl>
    <w:p w14:paraId="02794D3E" w14:textId="77777777" w:rsidR="008A2195" w:rsidRDefault="004000F0">
      <w:pPr>
        <w:ind w:firstLineChars="200" w:firstLine="632"/>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hint="eastAsia"/>
          <w:szCs w:val="32"/>
        </w:rPr>
        <w:t>社会效益分析</w:t>
      </w:r>
    </w:p>
    <w:p w14:paraId="0294F62E"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绩效评价工作组通过座谈、现场调研、调查问卷等形式，多方了解本项目实施的社会效益，项目的实施使学校基本办学条件得到极大改善，学生有了舒适的学习、生活环境，极大程度上调动了学生们的学习积极性，努力让农村孩子享受到和城里孩子一样的优质教育，构建了德智体美劳全面培养的教育体系。</w:t>
      </w:r>
      <w:proofErr w:type="gramStart"/>
      <w:r>
        <w:rPr>
          <w:rFonts w:ascii="Times New Roman" w:hAnsi="Times New Roman" w:cs="Times New Roman" w:hint="eastAsia"/>
          <w:szCs w:val="32"/>
        </w:rPr>
        <w:t>评价组</w:t>
      </w:r>
      <w:proofErr w:type="gramEnd"/>
      <w:r>
        <w:rPr>
          <w:rFonts w:ascii="Times New Roman" w:hAnsi="Times New Roman" w:cs="Times New Roman" w:hint="eastAsia"/>
          <w:szCs w:val="32"/>
        </w:rPr>
        <w:t>认为，项目实施项目改善学校办学条件效果显著，有效提高农村地区义务教育质量水平，促进教育均衡发展。</w:t>
      </w:r>
    </w:p>
    <w:p w14:paraId="27B4EE19"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2.</w:t>
      </w:r>
      <w:r>
        <w:rPr>
          <w:rFonts w:ascii="Times New Roman" w:hAnsi="Times New Roman" w:cs="Times New Roman" w:hint="eastAsia"/>
          <w:szCs w:val="32"/>
        </w:rPr>
        <w:t>可持续发展分析</w:t>
      </w:r>
    </w:p>
    <w:p w14:paraId="631F0613"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lastRenderedPageBreak/>
        <w:t>绩效评价工作组通过座谈、现场调研等形式对校舍安全年检制度建立情况进行摸底。按照《关于建立中小学校舍安全保障长效机制的意见》要求，中小学现有校舍每半年要组织一次安全隐患排查。经排查后需要鉴定的，由当地教育行政部门委托有资质的专业机构及时进行相关鉴定。对未达到重点设防类抗震设防标准或达到设计使用年限仍需继续使用的校舍，每年进行一次鉴定；达到重点设防类抗震设防标准的，每</w:t>
      </w:r>
      <w:r>
        <w:rPr>
          <w:rFonts w:ascii="Times New Roman" w:hAnsi="Times New Roman" w:cs="Times New Roman" w:hint="eastAsia"/>
          <w:szCs w:val="32"/>
        </w:rPr>
        <w:t>5</w:t>
      </w:r>
      <w:r>
        <w:rPr>
          <w:rFonts w:ascii="Times New Roman" w:hAnsi="Times New Roman" w:cs="Times New Roman" w:hint="eastAsia"/>
          <w:szCs w:val="32"/>
        </w:rPr>
        <w:t>年进行一次鉴定。校舍排查鉴定结果要及时录入中小学校舍信息管理系统以便查询。西青区教育局建立了《西青区落实中小学和幼儿园校舍安全保障长效机制的制度》，并在实践中按照相关要求进行了隐患排查。</w:t>
      </w:r>
    </w:p>
    <w:p w14:paraId="3838E6A9" w14:textId="77777777" w:rsidR="008A2195" w:rsidRDefault="004000F0">
      <w:pPr>
        <w:ind w:firstLineChars="200" w:firstLine="632"/>
        <w:rPr>
          <w:rFonts w:ascii="Times New Roman" w:hAnsi="Times New Roman" w:cs="Times New Roman"/>
          <w:szCs w:val="32"/>
          <w:highlight w:val="yellow"/>
        </w:rPr>
      </w:pPr>
      <w:r>
        <w:rPr>
          <w:rFonts w:ascii="Times New Roman" w:hAnsi="Times New Roman" w:cs="Times New Roman" w:hint="eastAsia"/>
          <w:szCs w:val="32"/>
        </w:rPr>
        <w:t>西青区教育局在本项目开展期间，基本建设实行招标投标制度，对建设项目实行公开、公平、公正的招标办法，选择合格的造价、施工、监理单位，遵守相关法律法规和相关管理规定，项目合同、验收报告、技术鉴定等资料齐全并及时归档。绩效评价工作组认为，本项目的实施对提高学校建设项目管理水平起到了积极正面的作用。</w:t>
      </w:r>
    </w:p>
    <w:p w14:paraId="79F5C07A" w14:textId="77777777" w:rsidR="008A2195" w:rsidRDefault="004000F0">
      <w:pPr>
        <w:ind w:firstLineChars="200" w:firstLine="632"/>
        <w:rPr>
          <w:rFonts w:ascii="Times New Roman" w:hAnsi="Times New Roman" w:cs="Times New Roman"/>
          <w:szCs w:val="32"/>
          <w:highlight w:val="yellow"/>
        </w:rPr>
      </w:pPr>
      <w:r>
        <w:rPr>
          <w:rFonts w:ascii="Times New Roman" w:hAnsi="Times New Roman" w:cs="Times New Roman" w:hint="eastAsia"/>
          <w:szCs w:val="32"/>
        </w:rPr>
        <w:t>按照《关于建立中小学校舍安全保障长效机制的意见》要求，要</w:t>
      </w:r>
      <w:proofErr w:type="gramStart"/>
      <w:r>
        <w:rPr>
          <w:rFonts w:ascii="Times New Roman" w:hAnsi="Times New Roman" w:cs="Times New Roman" w:hint="eastAsia"/>
          <w:szCs w:val="32"/>
        </w:rPr>
        <w:t>构建保障中小学校舍安全</w:t>
      </w:r>
      <w:proofErr w:type="gramEnd"/>
      <w:r>
        <w:rPr>
          <w:rFonts w:ascii="Times New Roman" w:hAnsi="Times New Roman" w:cs="Times New Roman" w:hint="eastAsia"/>
          <w:szCs w:val="32"/>
        </w:rPr>
        <w:t>的制度体系，包括建立校舍安全年检制度、校舍安全预警机制、校舍安全信息通报公告制度、校舍安全项目管理制度、校舍安全责任追究制度。绩效评价工作组通过座谈、现场调研等形式，对各项制度建立情况进行了解，西青区教育局建立了《西青区落实中小学和幼儿园校舍安全保障长效机</w:t>
      </w:r>
      <w:r>
        <w:rPr>
          <w:rFonts w:ascii="Times New Roman" w:hAnsi="Times New Roman" w:cs="Times New Roman" w:hint="eastAsia"/>
          <w:szCs w:val="32"/>
        </w:rPr>
        <w:lastRenderedPageBreak/>
        <w:t>制的制度》，相关制度体系建设比较完善，但个别制度过于简单，制度执行有待加强。根据评分标准，</w:t>
      </w:r>
      <w:proofErr w:type="gramStart"/>
      <w:r>
        <w:rPr>
          <w:rFonts w:ascii="Times New Roman" w:hAnsi="Times New Roman" w:cs="Times New Roman" w:hint="eastAsia"/>
          <w:szCs w:val="32"/>
        </w:rPr>
        <w:t>构建保障中小学校舍安全</w:t>
      </w:r>
      <w:proofErr w:type="gramEnd"/>
      <w:r>
        <w:rPr>
          <w:rFonts w:ascii="Times New Roman" w:hAnsi="Times New Roman" w:cs="Times New Roman" w:hint="eastAsia"/>
          <w:szCs w:val="32"/>
        </w:rPr>
        <w:t>的制度体系指标扣</w:t>
      </w:r>
      <w:r>
        <w:rPr>
          <w:rFonts w:ascii="Times New Roman" w:hAnsi="Times New Roman" w:cs="Times New Roman" w:hint="eastAsia"/>
          <w:szCs w:val="32"/>
        </w:rPr>
        <w:t>2</w:t>
      </w:r>
      <w:r>
        <w:rPr>
          <w:rFonts w:ascii="Times New Roman" w:hAnsi="Times New Roman" w:cs="Times New Roman" w:hint="eastAsia"/>
          <w:szCs w:val="32"/>
        </w:rPr>
        <w:t>分。</w:t>
      </w:r>
    </w:p>
    <w:p w14:paraId="63E5F56A"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3</w:t>
      </w:r>
      <w:r>
        <w:rPr>
          <w:rFonts w:ascii="Times New Roman" w:hAnsi="Times New Roman" w:cs="Times New Roman"/>
          <w:szCs w:val="32"/>
        </w:rPr>
        <w:t>.</w:t>
      </w:r>
      <w:r>
        <w:rPr>
          <w:rFonts w:ascii="Times New Roman" w:hAnsi="Times New Roman" w:cs="Times New Roman" w:hint="eastAsia"/>
          <w:szCs w:val="32"/>
        </w:rPr>
        <w:t>群众满意度</w:t>
      </w:r>
      <w:r>
        <w:rPr>
          <w:rFonts w:ascii="Times New Roman" w:hAnsi="Times New Roman" w:cs="Times New Roman"/>
          <w:szCs w:val="32"/>
        </w:rPr>
        <w:t>分析</w:t>
      </w:r>
    </w:p>
    <w:p w14:paraId="0804CF55"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截止绩效评价工作日，</w:t>
      </w:r>
      <w:proofErr w:type="gramStart"/>
      <w:r>
        <w:rPr>
          <w:rFonts w:ascii="Times New Roman" w:hAnsi="Times New Roman" w:cs="Times New Roman" w:hint="eastAsia"/>
          <w:szCs w:val="32"/>
        </w:rPr>
        <w:t>青凝侯小学</w:t>
      </w:r>
      <w:proofErr w:type="gramEnd"/>
      <w:r>
        <w:rPr>
          <w:rFonts w:ascii="Times New Roman" w:hAnsi="Times New Roman" w:cs="Times New Roman" w:hint="eastAsia"/>
          <w:szCs w:val="32"/>
        </w:rPr>
        <w:t>在校生合计</w:t>
      </w:r>
      <w:r>
        <w:rPr>
          <w:rFonts w:ascii="Times New Roman" w:hAnsi="Times New Roman" w:cs="Times New Roman" w:hint="eastAsia"/>
          <w:szCs w:val="32"/>
        </w:rPr>
        <w:t>300</w:t>
      </w:r>
      <w:r>
        <w:rPr>
          <w:rFonts w:ascii="Times New Roman" w:hAnsi="Times New Roman" w:cs="Times New Roman" w:hint="eastAsia"/>
          <w:szCs w:val="32"/>
        </w:rPr>
        <w:t>余人，本次群众满意</w:t>
      </w:r>
      <w:proofErr w:type="gramStart"/>
      <w:r>
        <w:rPr>
          <w:rFonts w:ascii="Times New Roman" w:hAnsi="Times New Roman" w:cs="Times New Roman" w:hint="eastAsia"/>
          <w:szCs w:val="32"/>
        </w:rPr>
        <w:t>度采用</w:t>
      </w:r>
      <w:proofErr w:type="gramEnd"/>
      <w:r>
        <w:rPr>
          <w:rFonts w:ascii="Times New Roman" w:hAnsi="Times New Roman" w:cs="Times New Roman" w:hint="eastAsia"/>
          <w:szCs w:val="32"/>
        </w:rPr>
        <w:t>调查问卷形式开展，向学生及家长群体发放并回收调查问卷</w:t>
      </w:r>
      <w:r>
        <w:rPr>
          <w:rFonts w:ascii="Times New Roman" w:hAnsi="Times New Roman" w:cs="Times New Roman" w:hint="eastAsia"/>
          <w:szCs w:val="32"/>
        </w:rPr>
        <w:t>108</w:t>
      </w:r>
      <w:r>
        <w:rPr>
          <w:rFonts w:ascii="Times New Roman" w:hAnsi="Times New Roman" w:cs="Times New Roman" w:hint="eastAsia"/>
          <w:szCs w:val="32"/>
        </w:rPr>
        <w:t>份，回收调查问卷情况如下：</w:t>
      </w:r>
    </w:p>
    <w:p w14:paraId="3B92B1F7"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1</w:t>
      </w:r>
      <w:r>
        <w:rPr>
          <w:rFonts w:ascii="Times New Roman" w:hAnsi="Times New Roman" w:cs="Times New Roman" w:hint="eastAsia"/>
          <w:szCs w:val="32"/>
        </w:rPr>
        <w:t>）在“教学楼维修改造是否及时”问题中，</w:t>
      </w:r>
      <w:r>
        <w:rPr>
          <w:rFonts w:ascii="Times New Roman" w:hAnsi="Times New Roman" w:cs="Times New Roman" w:hint="eastAsia"/>
          <w:szCs w:val="32"/>
        </w:rPr>
        <w:t>96.3%</w:t>
      </w:r>
      <w:r>
        <w:rPr>
          <w:rFonts w:ascii="Times New Roman" w:hAnsi="Times New Roman" w:cs="Times New Roman" w:hint="eastAsia"/>
          <w:szCs w:val="32"/>
        </w:rPr>
        <w:t>的受访者认为本项目开展非常及时；</w:t>
      </w:r>
    </w:p>
    <w:p w14:paraId="05C23284"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2</w:t>
      </w:r>
      <w:r>
        <w:rPr>
          <w:rFonts w:ascii="Times New Roman" w:hAnsi="Times New Roman" w:cs="Times New Roman" w:hint="eastAsia"/>
          <w:szCs w:val="32"/>
        </w:rPr>
        <w:t>）在“教学楼维修改造后带来的学习环境舒适性是否满意”问题中，</w:t>
      </w:r>
      <w:r>
        <w:rPr>
          <w:rFonts w:ascii="Times New Roman" w:hAnsi="Times New Roman" w:cs="Times New Roman" w:hint="eastAsia"/>
          <w:szCs w:val="32"/>
        </w:rPr>
        <w:t>97.22%</w:t>
      </w:r>
      <w:r>
        <w:rPr>
          <w:rFonts w:ascii="Times New Roman" w:hAnsi="Times New Roman" w:cs="Times New Roman" w:hint="eastAsia"/>
          <w:szCs w:val="32"/>
        </w:rPr>
        <w:t>的受访者认为非常满意；</w:t>
      </w:r>
    </w:p>
    <w:p w14:paraId="0618A702"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w:t>
      </w:r>
      <w:r>
        <w:rPr>
          <w:rFonts w:ascii="Times New Roman" w:hAnsi="Times New Roman" w:cs="Times New Roman" w:hint="eastAsia"/>
          <w:szCs w:val="32"/>
        </w:rPr>
        <w:t>3</w:t>
      </w:r>
      <w:r>
        <w:rPr>
          <w:rFonts w:ascii="Times New Roman" w:hAnsi="Times New Roman" w:cs="Times New Roman" w:hint="eastAsia"/>
          <w:szCs w:val="32"/>
        </w:rPr>
        <w:t>）在“教学楼本次维修改造相关配套设施是否满意”问题中，</w:t>
      </w:r>
      <w:r>
        <w:rPr>
          <w:rFonts w:ascii="Times New Roman" w:hAnsi="Times New Roman" w:cs="Times New Roman" w:hint="eastAsia"/>
          <w:szCs w:val="32"/>
        </w:rPr>
        <w:t>97.22%</w:t>
      </w:r>
      <w:r>
        <w:rPr>
          <w:rFonts w:ascii="Times New Roman" w:hAnsi="Times New Roman" w:cs="Times New Roman" w:hint="eastAsia"/>
          <w:szCs w:val="32"/>
        </w:rPr>
        <w:t>的受访者认为非常满意；</w:t>
      </w:r>
    </w:p>
    <w:p w14:paraId="7ACB9BEA"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综上所述，绩效评价工作组认为，本项目的实施群众满意度极高。</w:t>
      </w:r>
    </w:p>
    <w:p w14:paraId="702955F1" w14:textId="77777777" w:rsidR="008A2195" w:rsidRDefault="004000F0">
      <w:pPr>
        <w:pStyle w:val="af"/>
        <w:ind w:firstLine="632"/>
        <w:rPr>
          <w:rFonts w:ascii="Times New Roman" w:eastAsia="黑体" w:hAnsi="Times New Roman" w:cs="Times New Roman"/>
          <w:bCs/>
          <w:szCs w:val="32"/>
        </w:rPr>
      </w:pPr>
      <w:r>
        <w:rPr>
          <w:rFonts w:ascii="Times New Roman" w:eastAsia="黑体" w:hAnsi="Times New Roman" w:cs="Times New Roman" w:hint="eastAsia"/>
          <w:bCs/>
          <w:szCs w:val="32"/>
        </w:rPr>
        <w:t>五</w:t>
      </w:r>
      <w:r>
        <w:rPr>
          <w:rFonts w:ascii="Times New Roman" w:eastAsia="黑体" w:hAnsi="Times New Roman" w:cs="Times New Roman"/>
          <w:bCs/>
          <w:szCs w:val="32"/>
        </w:rPr>
        <w:t>、</w:t>
      </w:r>
      <w:r>
        <w:rPr>
          <w:rFonts w:ascii="黑体" w:eastAsia="黑体" w:hAnsi="黑体" w:hint="eastAsia"/>
        </w:rPr>
        <w:t>存在的问题</w:t>
      </w:r>
    </w:p>
    <w:p w14:paraId="7CD2FB27"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（一）绩效目标设置不够明确，细化、量化不足</w:t>
      </w:r>
    </w:p>
    <w:p w14:paraId="44FA0A11" w14:textId="0761513F"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西青区教育局对绩效目标设置认识及理解程度不足，项目支出绩效自评</w:t>
      </w:r>
      <w:proofErr w:type="gramStart"/>
      <w:r>
        <w:rPr>
          <w:rFonts w:ascii="Times New Roman" w:hAnsi="Times New Roman" w:cs="Times New Roman" w:hint="eastAsia"/>
          <w:szCs w:val="32"/>
        </w:rPr>
        <w:t>表</w:t>
      </w:r>
      <w:r>
        <w:rPr>
          <w:rFonts w:ascii="仿宋_GB2312" w:hAnsi="仿宋_GB2312" w:cs="仿宋_GB2312" w:hint="eastAsia"/>
          <w:szCs w:val="32"/>
        </w:rPr>
        <w:t>效益</w:t>
      </w:r>
      <w:proofErr w:type="gramEnd"/>
      <w:r>
        <w:rPr>
          <w:rFonts w:ascii="仿宋_GB2312" w:hAnsi="仿宋_GB2312" w:cs="仿宋_GB2312" w:hint="eastAsia"/>
          <w:szCs w:val="32"/>
        </w:rPr>
        <w:t>指标</w:t>
      </w:r>
      <w:r w:rsidR="002C26EF">
        <w:rPr>
          <w:rFonts w:ascii="仿宋_GB2312" w:hAnsi="仿宋_GB2312" w:cs="仿宋_GB2312" w:hint="eastAsia"/>
          <w:szCs w:val="32"/>
        </w:rPr>
        <w:t>的</w:t>
      </w:r>
      <w:r>
        <w:rPr>
          <w:rFonts w:ascii="仿宋_GB2312" w:hAnsi="仿宋_GB2312" w:cs="仿宋_GB2312" w:hint="eastAsia"/>
          <w:szCs w:val="32"/>
        </w:rPr>
        <w:t>“辐射周边、方便群众，扩大教育资源”表述过于宽泛，不能用清晰、可衡量的指标</w:t>
      </w:r>
      <w:proofErr w:type="gramStart"/>
      <w:r>
        <w:rPr>
          <w:rFonts w:ascii="仿宋_GB2312" w:hAnsi="仿宋_GB2312" w:cs="仿宋_GB2312" w:hint="eastAsia"/>
          <w:szCs w:val="32"/>
        </w:rPr>
        <w:t>值予以</w:t>
      </w:r>
      <w:proofErr w:type="gramEnd"/>
      <w:r>
        <w:rPr>
          <w:rFonts w:ascii="仿宋_GB2312" w:hAnsi="仿宋_GB2312" w:cs="仿宋_GB2312" w:hint="eastAsia"/>
          <w:szCs w:val="32"/>
        </w:rPr>
        <w:t>体现，不够细致</w:t>
      </w:r>
      <w:r>
        <w:rPr>
          <w:rFonts w:ascii="Times New Roman" w:hAnsi="Times New Roman" w:cs="Times New Roman" w:hint="eastAsia"/>
          <w:szCs w:val="32"/>
        </w:rPr>
        <w:t>。</w:t>
      </w:r>
      <w:r w:rsidR="002C26EF">
        <w:rPr>
          <w:rFonts w:ascii="Times New Roman" w:hAnsi="Times New Roman" w:cs="Times New Roman" w:hint="eastAsia"/>
          <w:szCs w:val="32"/>
        </w:rPr>
        <w:t>应</w:t>
      </w:r>
      <w:r>
        <w:rPr>
          <w:rFonts w:ascii="Times New Roman" w:hAnsi="Times New Roman" w:cs="Times New Roman" w:hint="eastAsia"/>
          <w:szCs w:val="32"/>
        </w:rPr>
        <w:t>设置可衡量指标，如：“</w:t>
      </w:r>
      <w:r>
        <w:rPr>
          <w:rFonts w:ascii="仿宋_GB2312" w:hAnsi="仿宋_GB2312" w:cs="仿宋_GB2312" w:hint="eastAsia"/>
          <w:szCs w:val="32"/>
        </w:rPr>
        <w:t>辐射周边XX</w:t>
      </w:r>
      <w:proofErr w:type="gramStart"/>
      <w:r>
        <w:rPr>
          <w:rFonts w:ascii="仿宋_GB2312" w:hAnsi="仿宋_GB2312" w:cs="仿宋_GB2312" w:hint="eastAsia"/>
          <w:szCs w:val="32"/>
        </w:rPr>
        <w:t>个</w:t>
      </w:r>
      <w:proofErr w:type="gramEnd"/>
      <w:r>
        <w:rPr>
          <w:rFonts w:ascii="仿宋_GB2312" w:hAnsi="仿宋_GB2312" w:cs="仿宋_GB2312" w:hint="eastAsia"/>
          <w:szCs w:val="32"/>
        </w:rPr>
        <w:t>村、方便XX户民众就近入学，促进农村地区教育资源发展，保证教育公平</w:t>
      </w:r>
      <w:r>
        <w:rPr>
          <w:rFonts w:ascii="Times New Roman" w:hAnsi="Times New Roman" w:cs="Times New Roman" w:hint="eastAsia"/>
          <w:szCs w:val="32"/>
        </w:rPr>
        <w:t>”。</w:t>
      </w:r>
    </w:p>
    <w:p w14:paraId="4761149A"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lastRenderedPageBreak/>
        <w:t>（二）预算编制不够科学，预算执行率较低</w:t>
      </w:r>
    </w:p>
    <w:p w14:paraId="72603D65"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本项目调整预算</w:t>
      </w:r>
      <w:r>
        <w:rPr>
          <w:rFonts w:ascii="Times New Roman" w:hAnsi="Times New Roman" w:cs="Times New Roman" w:hint="eastAsia"/>
          <w:szCs w:val="32"/>
        </w:rPr>
        <w:t>231.20</w:t>
      </w:r>
      <w:r>
        <w:rPr>
          <w:rFonts w:ascii="Times New Roman" w:hAnsi="Times New Roman" w:cs="Times New Roman" w:hint="eastAsia"/>
          <w:szCs w:val="32"/>
        </w:rPr>
        <w:t>万元，</w:t>
      </w:r>
      <w:r>
        <w:rPr>
          <w:rFonts w:ascii="Times New Roman" w:hAnsi="Times New Roman" w:cs="Times New Roman"/>
          <w:szCs w:val="32"/>
        </w:rPr>
        <w:t>2021</w:t>
      </w:r>
      <w:r>
        <w:rPr>
          <w:rFonts w:ascii="Times New Roman" w:hAnsi="Times New Roman" w:cs="Times New Roman"/>
          <w:szCs w:val="32"/>
        </w:rPr>
        <w:t>年度实际支</w:t>
      </w:r>
      <w:r>
        <w:rPr>
          <w:rFonts w:ascii="Times New Roman" w:hAnsi="Times New Roman" w:cs="Times New Roman" w:hint="eastAsia"/>
          <w:szCs w:val="32"/>
        </w:rPr>
        <w:t>付款项</w:t>
      </w:r>
      <w:r>
        <w:rPr>
          <w:rFonts w:ascii="Times New Roman" w:hAnsi="Times New Roman" w:cs="Times New Roman"/>
          <w:szCs w:val="32"/>
        </w:rPr>
        <w:t>102</w:t>
      </w:r>
      <w:r>
        <w:rPr>
          <w:rFonts w:ascii="Times New Roman" w:hAnsi="Times New Roman" w:cs="Times New Roman" w:hint="eastAsia"/>
          <w:szCs w:val="32"/>
        </w:rPr>
        <w:t>.</w:t>
      </w:r>
      <w:r>
        <w:rPr>
          <w:rFonts w:ascii="Times New Roman" w:hAnsi="Times New Roman" w:cs="Times New Roman"/>
          <w:szCs w:val="32"/>
        </w:rPr>
        <w:t>652</w:t>
      </w:r>
      <w:r>
        <w:rPr>
          <w:rFonts w:ascii="Times New Roman" w:hAnsi="Times New Roman" w:cs="Times New Roman" w:hint="eastAsia"/>
          <w:szCs w:val="32"/>
        </w:rPr>
        <w:t>万</w:t>
      </w:r>
      <w:r>
        <w:rPr>
          <w:rFonts w:ascii="Times New Roman" w:hAnsi="Times New Roman" w:cs="Times New Roman"/>
          <w:szCs w:val="32"/>
        </w:rPr>
        <w:t>元</w:t>
      </w:r>
      <w:r>
        <w:rPr>
          <w:rFonts w:ascii="Times New Roman" w:hAnsi="Times New Roman" w:cs="Times New Roman" w:hint="eastAsia"/>
          <w:szCs w:val="32"/>
        </w:rPr>
        <w:t>，</w:t>
      </w:r>
      <w:r>
        <w:rPr>
          <w:rFonts w:ascii="Times New Roman" w:hAnsi="Times New Roman" w:cs="Times New Roman"/>
          <w:szCs w:val="32"/>
        </w:rPr>
        <w:t>实际支</w:t>
      </w:r>
      <w:r>
        <w:rPr>
          <w:rFonts w:ascii="Times New Roman" w:hAnsi="Times New Roman" w:cs="Times New Roman" w:hint="eastAsia"/>
          <w:szCs w:val="32"/>
        </w:rPr>
        <w:t>付款项</w:t>
      </w:r>
      <w:r>
        <w:rPr>
          <w:rFonts w:ascii="Times New Roman" w:hAnsi="Times New Roman" w:cs="Times New Roman"/>
          <w:szCs w:val="32"/>
        </w:rPr>
        <w:t>占预算资金的</w:t>
      </w:r>
      <w:r>
        <w:rPr>
          <w:rFonts w:ascii="Times New Roman" w:hAnsi="Times New Roman" w:cs="Times New Roman"/>
          <w:szCs w:val="32"/>
        </w:rPr>
        <w:t>4</w:t>
      </w:r>
      <w:r>
        <w:rPr>
          <w:rFonts w:ascii="Times New Roman" w:hAnsi="Times New Roman" w:cs="Times New Roman" w:hint="eastAsia"/>
          <w:szCs w:val="32"/>
        </w:rPr>
        <w:t>4.40</w:t>
      </w:r>
      <w:r>
        <w:rPr>
          <w:rFonts w:ascii="Times New Roman" w:hAnsi="Times New Roman" w:cs="Times New Roman"/>
          <w:szCs w:val="32"/>
        </w:rPr>
        <w:t>%</w:t>
      </w:r>
      <w:r>
        <w:rPr>
          <w:rFonts w:ascii="Times New Roman" w:hAnsi="Times New Roman" w:cs="Times New Roman"/>
          <w:szCs w:val="32"/>
        </w:rPr>
        <w:t>。</w:t>
      </w:r>
      <w:r>
        <w:rPr>
          <w:rFonts w:ascii="Times New Roman" w:hAnsi="Times New Roman" w:cs="Times New Roman" w:hint="eastAsia"/>
          <w:szCs w:val="32"/>
        </w:rPr>
        <w:t>项目整体预算执行率较低，预算编制与实际工作量不匹配。</w:t>
      </w:r>
    </w:p>
    <w:p w14:paraId="712049A5"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（三）中小学校</w:t>
      </w:r>
      <w:proofErr w:type="gramStart"/>
      <w:r>
        <w:rPr>
          <w:rFonts w:ascii="Times New Roman" w:eastAsia="楷体_GB2312" w:hAnsi="Times New Roman" w:cs="Times New Roman" w:hint="eastAsia"/>
          <w:bCs/>
          <w:szCs w:val="32"/>
        </w:rPr>
        <w:t>舍安全</w:t>
      </w:r>
      <w:proofErr w:type="gramEnd"/>
      <w:r>
        <w:rPr>
          <w:rFonts w:ascii="Times New Roman" w:eastAsia="楷体_GB2312" w:hAnsi="Times New Roman" w:cs="Times New Roman" w:hint="eastAsia"/>
          <w:bCs/>
          <w:szCs w:val="32"/>
        </w:rPr>
        <w:t>保障制度体系建设有待加强</w:t>
      </w:r>
    </w:p>
    <w:p w14:paraId="7EB625D1" w14:textId="77777777" w:rsidR="008A2195" w:rsidRDefault="004000F0">
      <w:pPr>
        <w:ind w:firstLineChars="200" w:firstLine="632"/>
        <w:rPr>
          <w:rFonts w:ascii="Times New Roman" w:hAnsi="Times New Roman" w:cs="Times New Roman"/>
          <w:szCs w:val="32"/>
        </w:rPr>
      </w:pPr>
      <w:r>
        <w:rPr>
          <w:rFonts w:ascii="Times New Roman" w:hAnsi="Times New Roman" w:cs="Times New Roman" w:hint="eastAsia"/>
          <w:szCs w:val="32"/>
        </w:rPr>
        <w:t>按照《关于建立中小学校舍安全保障长效机制的意见》要求，要</w:t>
      </w:r>
      <w:proofErr w:type="gramStart"/>
      <w:r>
        <w:rPr>
          <w:rFonts w:ascii="Times New Roman" w:hAnsi="Times New Roman" w:cs="Times New Roman" w:hint="eastAsia"/>
          <w:szCs w:val="32"/>
        </w:rPr>
        <w:t>构建保障中小学校舍安全</w:t>
      </w:r>
      <w:proofErr w:type="gramEnd"/>
      <w:r>
        <w:rPr>
          <w:rFonts w:ascii="Times New Roman" w:hAnsi="Times New Roman" w:cs="Times New Roman" w:hint="eastAsia"/>
          <w:szCs w:val="32"/>
        </w:rPr>
        <w:t>的制度体系，包括建立校舍安全年检制度、校舍安全预警机制、校舍安全信息通报公告制度、校舍安全项目管理制度、校舍安全责任追究制度。在实际工作中，西青区教育局建立了《西青区落实中小学和幼儿园校舍安全保障长效机制的制度》，相关制度体系建设比较完善，但个别制度过于简单，只是对</w:t>
      </w:r>
      <w:r>
        <w:rPr>
          <w:rFonts w:ascii="仿宋_GB2312" w:hAnsi="仿宋_GB2312" w:cs="仿宋_GB2312" w:hint="eastAsia"/>
          <w:szCs w:val="32"/>
        </w:rPr>
        <w:t>上级文件指导性条款的重复描述，未对具体执行标准进行明确规定，</w:t>
      </w:r>
      <w:r>
        <w:rPr>
          <w:rFonts w:ascii="Times New Roman" w:hAnsi="Times New Roman" w:cs="Times New Roman" w:hint="eastAsia"/>
          <w:szCs w:val="32"/>
        </w:rPr>
        <w:t>制度执行有待加强。</w:t>
      </w:r>
    </w:p>
    <w:p w14:paraId="2CD5ABE7" w14:textId="77777777" w:rsidR="008A2195" w:rsidRDefault="004000F0">
      <w:pPr>
        <w:pStyle w:val="af"/>
        <w:ind w:firstLine="632"/>
        <w:rPr>
          <w:rFonts w:ascii="Times New Roman" w:eastAsia="黑体" w:hAnsi="Times New Roman" w:cs="Times New Roman"/>
          <w:bCs/>
          <w:szCs w:val="32"/>
        </w:rPr>
      </w:pPr>
      <w:r>
        <w:rPr>
          <w:rFonts w:ascii="Times New Roman" w:eastAsia="黑体" w:hAnsi="Times New Roman" w:cs="Times New Roman" w:hint="eastAsia"/>
          <w:bCs/>
          <w:szCs w:val="32"/>
        </w:rPr>
        <w:t>六</w:t>
      </w:r>
      <w:r>
        <w:rPr>
          <w:rFonts w:ascii="Times New Roman" w:eastAsia="黑体" w:hAnsi="Times New Roman" w:cs="Times New Roman"/>
          <w:bCs/>
          <w:szCs w:val="32"/>
        </w:rPr>
        <w:t>、</w:t>
      </w:r>
      <w:r>
        <w:rPr>
          <w:rFonts w:ascii="Times New Roman" w:eastAsia="黑体" w:hAnsi="Times New Roman" w:cs="Times New Roman" w:hint="eastAsia"/>
          <w:bCs/>
          <w:szCs w:val="32"/>
        </w:rPr>
        <w:t>相关</w:t>
      </w:r>
      <w:r>
        <w:rPr>
          <w:rFonts w:ascii="Times New Roman" w:eastAsia="黑体" w:hAnsi="Times New Roman" w:cs="Times New Roman"/>
          <w:bCs/>
          <w:szCs w:val="32"/>
        </w:rPr>
        <w:t>建议</w:t>
      </w:r>
    </w:p>
    <w:p w14:paraId="1C3082D4"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（一）重视绩效目标设置的明确性，细化绩效目标</w:t>
      </w:r>
    </w:p>
    <w:p w14:paraId="0C17C48D" w14:textId="77777777" w:rsidR="008A2195" w:rsidRDefault="004000F0">
      <w:pPr>
        <w:ind w:firstLineChars="200" w:firstLine="632"/>
        <w:rPr>
          <w:rFonts w:ascii="仿宋_GB2312" w:hAnsi="仿宋_GB2312" w:cs="仿宋_GB2312"/>
          <w:szCs w:val="32"/>
        </w:rPr>
      </w:pPr>
      <w:r>
        <w:rPr>
          <w:rFonts w:ascii="仿宋_GB2312" w:hAnsi="仿宋_GB2312" w:cs="仿宋_GB2312" w:hint="eastAsia"/>
          <w:szCs w:val="32"/>
        </w:rPr>
        <w:t>西青区教育局应严格按照国家相关文件要求，重视绩效目标管理，明确指标设置思路。按照确定项目绩效目标、分解细化指标、设置指标值的三个步骤，逐步分解设置绩效目标和指标；确保绩效目标与项目相匹配，能够体现项目主要产出和核心效果；坚持项目绩效目标用清晰、可衡量的指标</w:t>
      </w:r>
      <w:proofErr w:type="gramStart"/>
      <w:r>
        <w:rPr>
          <w:rFonts w:ascii="仿宋_GB2312" w:hAnsi="仿宋_GB2312" w:cs="仿宋_GB2312" w:hint="eastAsia"/>
          <w:szCs w:val="32"/>
        </w:rPr>
        <w:t>值予以</w:t>
      </w:r>
      <w:proofErr w:type="gramEnd"/>
      <w:r>
        <w:rPr>
          <w:rFonts w:ascii="仿宋_GB2312" w:hAnsi="仿宋_GB2312" w:cs="仿宋_GB2312" w:hint="eastAsia"/>
          <w:szCs w:val="32"/>
        </w:rPr>
        <w:t>体现，便于</w:t>
      </w:r>
      <w:r>
        <w:rPr>
          <w:rFonts w:ascii="Times New Roman" w:hAnsi="Times New Roman" w:cs="Times New Roman" w:hint="eastAsia"/>
          <w:szCs w:val="32"/>
        </w:rPr>
        <w:t>后续跟踪及</w:t>
      </w:r>
      <w:r>
        <w:rPr>
          <w:rFonts w:ascii="仿宋_GB2312" w:hAnsi="仿宋_GB2312" w:cs="仿宋_GB2312" w:hint="eastAsia"/>
          <w:szCs w:val="32"/>
        </w:rPr>
        <w:t>评价。</w:t>
      </w:r>
    </w:p>
    <w:p w14:paraId="06DC1E48"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（二）提高编制预算的科学性，确保预算的准确率</w:t>
      </w:r>
    </w:p>
    <w:p w14:paraId="45826774" w14:textId="73090B74" w:rsidR="008A2195" w:rsidRDefault="004000F0">
      <w:pPr>
        <w:ind w:firstLineChars="200" w:firstLine="632"/>
        <w:rPr>
          <w:rFonts w:ascii="仿宋_GB2312" w:hAnsi="仿宋_GB2312" w:cs="仿宋_GB2312"/>
          <w:szCs w:val="32"/>
        </w:rPr>
      </w:pPr>
      <w:r>
        <w:rPr>
          <w:rFonts w:ascii="仿宋_GB2312" w:hAnsi="仿宋_GB2312" w:cs="仿宋_GB2312" w:hint="eastAsia"/>
          <w:szCs w:val="32"/>
        </w:rPr>
        <w:lastRenderedPageBreak/>
        <w:t>建议西青区教育局强化部门预算管理，改进预算编制方式，推广零基预算编制方法，切实提高预算编制的科学性、精准度。同时规范部门预算收支核算，及时了解预算执行差异，合理调整、纠正预算的执行偏差</w:t>
      </w:r>
      <w:r w:rsidR="002C26EF">
        <w:rPr>
          <w:rFonts w:ascii="仿宋_GB2312" w:hAnsi="仿宋_GB2312" w:cs="仿宋_GB2312" w:hint="eastAsia"/>
          <w:szCs w:val="32"/>
        </w:rPr>
        <w:t>。</w:t>
      </w:r>
      <w:r>
        <w:rPr>
          <w:rFonts w:ascii="仿宋_GB2312" w:hAnsi="仿宋_GB2312" w:cs="仿宋_GB2312" w:hint="eastAsia"/>
          <w:szCs w:val="32"/>
        </w:rPr>
        <w:t>财务人员应根据实际情况，做好预算执行分析，提高预算编制质量。</w:t>
      </w:r>
    </w:p>
    <w:p w14:paraId="36C7A8EE" w14:textId="77777777" w:rsidR="008A2195" w:rsidRDefault="004000F0">
      <w:pPr>
        <w:pStyle w:val="af"/>
        <w:ind w:firstLine="632"/>
        <w:rPr>
          <w:rFonts w:ascii="Times New Roman" w:eastAsia="楷体_GB2312" w:hAnsi="Times New Roman" w:cs="Times New Roman"/>
          <w:bCs/>
          <w:szCs w:val="32"/>
        </w:rPr>
      </w:pPr>
      <w:r>
        <w:rPr>
          <w:rFonts w:ascii="Times New Roman" w:eastAsia="楷体_GB2312" w:hAnsi="Times New Roman" w:cs="Times New Roman" w:hint="eastAsia"/>
          <w:bCs/>
          <w:szCs w:val="32"/>
        </w:rPr>
        <w:t>（三）健全保障中小学校</w:t>
      </w:r>
      <w:proofErr w:type="gramStart"/>
      <w:r>
        <w:rPr>
          <w:rFonts w:ascii="Times New Roman" w:eastAsia="楷体_GB2312" w:hAnsi="Times New Roman" w:cs="Times New Roman" w:hint="eastAsia"/>
          <w:bCs/>
          <w:szCs w:val="32"/>
        </w:rPr>
        <w:t>舍安全</w:t>
      </w:r>
      <w:proofErr w:type="gramEnd"/>
      <w:r>
        <w:rPr>
          <w:rFonts w:ascii="Times New Roman" w:eastAsia="楷体_GB2312" w:hAnsi="Times New Roman" w:cs="Times New Roman" w:hint="eastAsia"/>
          <w:bCs/>
          <w:szCs w:val="32"/>
        </w:rPr>
        <w:t>的制度体系</w:t>
      </w:r>
    </w:p>
    <w:p w14:paraId="5BFBDA49" w14:textId="019133D1" w:rsidR="000B1179" w:rsidRDefault="004000F0">
      <w:pPr>
        <w:ind w:firstLineChars="200" w:firstLine="632"/>
        <w:rPr>
          <w:rFonts w:ascii="仿宋_GB2312" w:hAnsi="仿宋_GB2312" w:cs="仿宋_GB2312"/>
          <w:szCs w:val="32"/>
          <w:highlight w:val="yellow"/>
        </w:rPr>
      </w:pPr>
      <w:r>
        <w:rPr>
          <w:rFonts w:ascii="仿宋_GB2312" w:hAnsi="仿宋_GB2312" w:cs="仿宋_GB2312" w:hint="eastAsia"/>
          <w:szCs w:val="32"/>
        </w:rPr>
        <w:t>建议西青区教育局依据</w:t>
      </w:r>
      <w:r>
        <w:rPr>
          <w:rFonts w:ascii="Times New Roman" w:hAnsi="Times New Roman" w:cs="Times New Roman" w:hint="eastAsia"/>
          <w:szCs w:val="32"/>
        </w:rPr>
        <w:t>《市教委等十六部门关于印发建立健全天津市中小学校和幼儿园校舍安全保障长效机制的意见的通知》（津教委〔</w:t>
      </w:r>
      <w:r>
        <w:rPr>
          <w:rFonts w:ascii="Times New Roman" w:hAnsi="Times New Roman" w:cs="Times New Roman" w:hint="eastAsia"/>
          <w:szCs w:val="32"/>
        </w:rPr>
        <w:t>2015</w:t>
      </w:r>
      <w:r>
        <w:rPr>
          <w:rFonts w:ascii="Times New Roman" w:hAnsi="Times New Roman" w:cs="Times New Roman" w:hint="eastAsia"/>
          <w:szCs w:val="32"/>
        </w:rPr>
        <w:t>〕</w:t>
      </w:r>
      <w:r>
        <w:rPr>
          <w:rFonts w:ascii="Times New Roman" w:hAnsi="Times New Roman" w:cs="Times New Roman" w:hint="eastAsia"/>
          <w:szCs w:val="32"/>
        </w:rPr>
        <w:t>12</w:t>
      </w:r>
      <w:r>
        <w:rPr>
          <w:rFonts w:ascii="Times New Roman" w:hAnsi="Times New Roman" w:cs="Times New Roman" w:hint="eastAsia"/>
          <w:szCs w:val="32"/>
        </w:rPr>
        <w:t>号）文件</w:t>
      </w:r>
      <w:r>
        <w:rPr>
          <w:rFonts w:ascii="仿宋_GB2312" w:hAnsi="仿宋_GB2312" w:cs="仿宋_GB2312" w:hint="eastAsia"/>
          <w:szCs w:val="32"/>
        </w:rPr>
        <w:t>，</w:t>
      </w:r>
      <w:r>
        <w:rPr>
          <w:rFonts w:ascii="Times New Roman" w:hAnsi="Times New Roman" w:cs="Times New Roman" w:hint="eastAsia"/>
          <w:szCs w:val="32"/>
        </w:rPr>
        <w:t>健全保障中小学校</w:t>
      </w:r>
      <w:proofErr w:type="gramStart"/>
      <w:r>
        <w:rPr>
          <w:rFonts w:ascii="Times New Roman" w:hAnsi="Times New Roman" w:cs="Times New Roman" w:hint="eastAsia"/>
          <w:szCs w:val="32"/>
        </w:rPr>
        <w:t>舍安全</w:t>
      </w:r>
      <w:proofErr w:type="gramEnd"/>
      <w:r>
        <w:rPr>
          <w:rFonts w:ascii="Times New Roman" w:hAnsi="Times New Roman" w:cs="Times New Roman" w:hint="eastAsia"/>
          <w:szCs w:val="32"/>
        </w:rPr>
        <w:t>的制度体系。从建立校舍安全年检制度、校舍安全预警机制、校舍安全信息通报公告制度、校舍安全项目管理制度、校舍安全责任追究制度</w:t>
      </w:r>
      <w:r w:rsidR="000B1179">
        <w:rPr>
          <w:rFonts w:ascii="Times New Roman" w:hAnsi="Times New Roman" w:cs="Times New Roman" w:hint="eastAsia"/>
          <w:szCs w:val="32"/>
        </w:rPr>
        <w:t>等</w:t>
      </w:r>
      <w:r>
        <w:rPr>
          <w:rFonts w:ascii="Times New Roman" w:hAnsi="Times New Roman" w:cs="Times New Roman" w:hint="eastAsia"/>
          <w:szCs w:val="32"/>
        </w:rPr>
        <w:t>方面结合各学校实际情况，逐条增加具体管理</w:t>
      </w:r>
      <w:r w:rsidR="000B1179">
        <w:rPr>
          <w:rFonts w:ascii="Times New Roman" w:hAnsi="Times New Roman" w:cs="Times New Roman" w:hint="eastAsia"/>
          <w:szCs w:val="32"/>
        </w:rPr>
        <w:t>制度</w:t>
      </w:r>
      <w:r>
        <w:rPr>
          <w:rFonts w:ascii="Times New Roman" w:hAnsi="Times New Roman" w:cs="Times New Roman" w:hint="eastAsia"/>
          <w:szCs w:val="32"/>
        </w:rPr>
        <w:t>内容</w:t>
      </w:r>
      <w:r>
        <w:rPr>
          <w:rFonts w:ascii="仿宋_GB2312" w:hAnsi="仿宋_GB2312" w:cs="仿宋_GB2312" w:hint="eastAsia"/>
          <w:szCs w:val="32"/>
        </w:rPr>
        <w:t>。</w:t>
      </w:r>
      <w:bookmarkStart w:id="3" w:name="_GoBack"/>
      <w:bookmarkEnd w:id="3"/>
    </w:p>
    <w:p w14:paraId="4D8737C3" w14:textId="57730117" w:rsidR="000B1179" w:rsidRDefault="000B1179">
      <w:pPr>
        <w:ind w:firstLineChars="200" w:firstLine="632"/>
        <w:rPr>
          <w:rFonts w:ascii="仿宋_GB2312" w:hAnsi="仿宋_GB2312" w:cs="仿宋_GB2312"/>
          <w:szCs w:val="32"/>
          <w:highlight w:val="yellow"/>
        </w:rPr>
      </w:pPr>
    </w:p>
    <w:p w14:paraId="71FDB39B" w14:textId="77777777" w:rsidR="000B1179" w:rsidRDefault="000B1179">
      <w:pPr>
        <w:ind w:firstLineChars="200" w:firstLine="632"/>
        <w:rPr>
          <w:rFonts w:ascii="仿宋_GB2312" w:hAnsi="仿宋_GB2312" w:cs="仿宋_GB2312"/>
          <w:szCs w:val="32"/>
          <w:highlight w:val="yellow"/>
        </w:rPr>
      </w:pPr>
    </w:p>
    <w:p w14:paraId="3EB87E5C" w14:textId="29364C01" w:rsidR="008A2195" w:rsidRDefault="004000F0">
      <w:pPr>
        <w:ind w:firstLineChars="200" w:firstLine="632"/>
        <w:jc w:val="center"/>
        <w:rPr>
          <w:rFonts w:ascii="Times New Roman" w:hAnsi="Times New Roman" w:cs="Times New Roman"/>
          <w:szCs w:val="32"/>
        </w:rPr>
      </w:pPr>
      <w:r>
        <w:rPr>
          <w:rFonts w:ascii="Times New Roman" w:hAnsi="Times New Roman" w:cs="Times New Roman"/>
          <w:szCs w:val="32"/>
        </w:rPr>
        <w:t xml:space="preserve">             </w:t>
      </w:r>
      <w:r>
        <w:rPr>
          <w:rFonts w:ascii="Times New Roman" w:hAnsi="Times New Roman" w:cs="Times New Roman" w:hint="eastAsia"/>
          <w:szCs w:val="32"/>
        </w:rPr>
        <w:t xml:space="preserve">   </w:t>
      </w:r>
    </w:p>
    <w:sectPr w:rsidR="008A2195">
      <w:footerReference w:type="even" r:id="rId7"/>
      <w:footerReference w:type="default" r:id="rId8"/>
      <w:pgSz w:w="11906" w:h="16838"/>
      <w:pgMar w:top="2098" w:right="1474" w:bottom="1701" w:left="1588" w:header="1134" w:footer="1134" w:gutter="0"/>
      <w:pgNumType w:fmt="numberInDash" w:start="1"/>
      <w:cols w:space="425"/>
      <w:docGrid w:type="linesAndChars" w:linePitch="592"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11E21" w14:textId="77777777" w:rsidR="00390EE5" w:rsidRDefault="00390EE5">
      <w:r>
        <w:separator/>
      </w:r>
    </w:p>
  </w:endnote>
  <w:endnote w:type="continuationSeparator" w:id="0">
    <w:p w14:paraId="491EFB5F" w14:textId="77777777" w:rsidR="00390EE5" w:rsidRDefault="0039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0B378" w14:textId="77777777" w:rsidR="008A2195" w:rsidRDefault="00390EE5">
    <w:pPr>
      <w:pStyle w:val="a6"/>
      <w:ind w:right="360"/>
      <w:rPr>
        <w:rFonts w:asciiTheme="majorEastAsia" w:eastAsiaTheme="majorEastAsia" w:hAnsiTheme="majorEastAsia"/>
      </w:rPr>
    </w:pPr>
    <w:r>
      <w:pict w14:anchorId="1489B9E7">
        <v:shapetype id="_x0000_t202" coordsize="21600,21600" o:spt="202" path="m,l,21600r21600,l21600,xe">
          <v:stroke joinstyle="miter"/>
          <v:path gradientshapeok="t" o:connecttype="rect"/>
        </v:shapetype>
        <v:shape id="_x0000_s2053" type="#_x0000_t202" style="position:absolute;margin-left:0;margin-top:0;width:2in;height:2in;z-index:251662336;mso-wrap-style:none;mso-position-horizontal:center;mso-position-horizontal-relative:margin;mso-width-relative:page;mso-height-relative:page" filled="f" stroked="f">
          <v:textbox style="mso-fit-shape-to-text:t" inset="0,0,0,0">
            <w:txbxContent>
              <w:sdt>
                <w:sdtPr>
                  <w:id w:val="656888195"/>
                </w:sdtPr>
                <w:sdtEndPr>
                  <w:rPr>
                    <w:rFonts w:asciiTheme="majorEastAsia" w:eastAsiaTheme="majorEastAsia" w:hAnsiTheme="majorEastAsia"/>
                  </w:rPr>
                </w:sdtEndPr>
                <w:sdtContent>
                  <w:p w14:paraId="17B68647" w14:textId="77777777" w:rsidR="008A2195" w:rsidRDefault="004000F0">
                    <w:pPr>
                      <w:pStyle w:val="a6"/>
                      <w:ind w:right="360"/>
                      <w:rPr>
                        <w:rFonts w:asciiTheme="majorEastAsia" w:eastAsiaTheme="majorEastAsia" w:hAnsiTheme="majorEastAsia"/>
                      </w:rPr>
                    </w:pPr>
                    <w:r>
                      <w:rPr>
                        <w:rFonts w:asciiTheme="majorEastAsia" w:eastAsiaTheme="majorEastAsia" w:hAnsiTheme="majorEastAsia"/>
                        <w:sz w:val="28"/>
                        <w:szCs w:val="28"/>
                      </w:rPr>
                      <w:fldChar w:fldCharType="begin"/>
                    </w:r>
                    <w:r>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064FBC" w:rsidRPr="00064FBC">
                      <w:rPr>
                        <w:rFonts w:asciiTheme="majorEastAsia" w:eastAsiaTheme="majorEastAsia" w:hAnsiTheme="majorEastAsia"/>
                        <w:noProof/>
                        <w:sz w:val="28"/>
                        <w:szCs w:val="28"/>
                        <w:lang w:val="zh-CN"/>
                      </w:rPr>
                      <w:t>-</w:t>
                    </w:r>
                    <w:r w:rsidR="00064FBC">
                      <w:rPr>
                        <w:rFonts w:asciiTheme="majorEastAsia" w:eastAsiaTheme="majorEastAsia" w:hAnsiTheme="majorEastAsia"/>
                        <w:noProof/>
                        <w:sz w:val="28"/>
                        <w:szCs w:val="28"/>
                      </w:rPr>
                      <w:t xml:space="preserve"> 16 -</w:t>
                    </w:r>
                    <w:r>
                      <w:rPr>
                        <w:rFonts w:asciiTheme="majorEastAsia" w:eastAsiaTheme="majorEastAsia" w:hAnsiTheme="majorEastAsia"/>
                        <w:sz w:val="28"/>
                        <w:szCs w:val="28"/>
                      </w:rPr>
                      <w:fldChar w:fldCharType="end"/>
                    </w:r>
                  </w:p>
                </w:sdtContent>
              </w:sdt>
              <w:p w14:paraId="504A032C" w14:textId="77777777" w:rsidR="008A2195" w:rsidRDefault="008A2195">
                <w:pPr>
                  <w:rPr>
                    <w:rFonts w:asciiTheme="majorEastAsia" w:eastAsiaTheme="majorEastAsia" w:hAnsiTheme="majorEastAsia"/>
                  </w:rPr>
                </w:pPr>
              </w:p>
            </w:txbxContent>
          </v:textbox>
          <w10:wrap anchorx="margin"/>
        </v:shape>
      </w:pict>
    </w:r>
  </w:p>
  <w:p w14:paraId="76C1ADAD" w14:textId="77777777" w:rsidR="008A2195" w:rsidRDefault="008A2195">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77768" w14:textId="77777777" w:rsidR="008A2195" w:rsidRDefault="00390EE5">
    <w:pPr>
      <w:pStyle w:val="a6"/>
      <w:jc w:val="right"/>
      <w:rPr>
        <w:rFonts w:asciiTheme="majorEastAsia" w:eastAsiaTheme="majorEastAsia" w:hAnsiTheme="majorEastAsia"/>
      </w:rPr>
    </w:pPr>
    <w:r>
      <w:pict w14:anchorId="02AD8F2A">
        <v:shapetype id="_x0000_t202" coordsize="21600,21600" o:spt="202" path="m,l,21600r21600,l21600,xe">
          <v:stroke joinstyle="miter"/>
          <v:path gradientshapeok="t" o:connecttype="rect"/>
        </v:shapetype>
        <v:shape id="_x0000_s2052" type="#_x0000_t202" style="position:absolute;left:0;text-align:left;margin-left:0;margin-top:0;width:2in;height:2in;z-index:251661312;mso-wrap-style:none;mso-position-horizontal:center;mso-position-horizontal-relative:margin;mso-width-relative:page;mso-height-relative:page" filled="f" stroked="f">
          <v:textbox style="mso-fit-shape-to-text:t" inset="0,0,0,0">
            <w:txbxContent>
              <w:sdt>
                <w:sdtPr>
                  <w:id w:val="-1941062054"/>
                </w:sdtPr>
                <w:sdtEndPr>
                  <w:rPr>
                    <w:rFonts w:asciiTheme="majorEastAsia" w:eastAsiaTheme="majorEastAsia" w:hAnsiTheme="majorEastAsia"/>
                  </w:rPr>
                </w:sdtEndPr>
                <w:sdtContent>
                  <w:p w14:paraId="6F73184C" w14:textId="77777777" w:rsidR="008A2195" w:rsidRDefault="004000F0">
                    <w:pPr>
                      <w:pStyle w:val="a6"/>
                      <w:jc w:val="right"/>
                      <w:rPr>
                        <w:rFonts w:asciiTheme="majorEastAsia" w:eastAsiaTheme="majorEastAsia" w:hAnsiTheme="majorEastAsia"/>
                      </w:rPr>
                    </w:pPr>
                    <w:r>
                      <w:rPr>
                        <w:rFonts w:asciiTheme="majorEastAsia" w:eastAsiaTheme="majorEastAsia" w:hAnsiTheme="majorEastAsia"/>
                        <w:sz w:val="28"/>
                        <w:szCs w:val="28"/>
                      </w:rPr>
                      <w:fldChar w:fldCharType="begin"/>
                    </w:r>
                    <w:r>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064FBC" w:rsidRPr="00064FBC">
                      <w:rPr>
                        <w:rFonts w:asciiTheme="majorEastAsia" w:eastAsiaTheme="majorEastAsia" w:hAnsiTheme="majorEastAsia"/>
                        <w:noProof/>
                        <w:sz w:val="28"/>
                        <w:szCs w:val="28"/>
                        <w:lang w:val="zh-CN"/>
                      </w:rPr>
                      <w:t>-</w:t>
                    </w:r>
                    <w:r w:rsidR="00064FBC">
                      <w:rPr>
                        <w:rFonts w:asciiTheme="majorEastAsia" w:eastAsiaTheme="majorEastAsia" w:hAnsiTheme="majorEastAsia"/>
                        <w:noProof/>
                        <w:sz w:val="28"/>
                        <w:szCs w:val="28"/>
                      </w:rPr>
                      <w:t xml:space="preserve"> 17 -</w:t>
                    </w:r>
                    <w:r>
                      <w:rPr>
                        <w:rFonts w:asciiTheme="majorEastAsia" w:eastAsiaTheme="majorEastAsia" w:hAnsiTheme="majorEastAsia"/>
                        <w:sz w:val="28"/>
                        <w:szCs w:val="28"/>
                      </w:rPr>
                      <w:fldChar w:fldCharType="end"/>
                    </w:r>
                  </w:p>
                </w:sdtContent>
              </w:sdt>
              <w:p w14:paraId="2D7816DE" w14:textId="77777777" w:rsidR="008A2195" w:rsidRDefault="008A2195">
                <w:pPr>
                  <w:rPr>
                    <w:rFonts w:asciiTheme="majorEastAsia" w:eastAsiaTheme="majorEastAsia" w:hAnsiTheme="majorEastAsia"/>
                  </w:rPr>
                </w:pPr>
              </w:p>
            </w:txbxContent>
          </v:textbox>
          <w10:wrap anchorx="margin"/>
        </v:shape>
      </w:pict>
    </w:r>
  </w:p>
  <w:p w14:paraId="75AC830E" w14:textId="77777777" w:rsidR="008A2195" w:rsidRDefault="008A2195">
    <w:pPr>
      <w:pStyle w:val="a6"/>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5D061" w14:textId="77777777" w:rsidR="00390EE5" w:rsidRDefault="00390EE5">
      <w:r>
        <w:separator/>
      </w:r>
    </w:p>
  </w:footnote>
  <w:footnote w:type="continuationSeparator" w:id="0">
    <w:p w14:paraId="0C20932C" w14:textId="77777777" w:rsidR="00390EE5" w:rsidRDefault="00390E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doNotTrackMoves/>
  <w:defaultTabStop w:val="420"/>
  <w:doNotHyphenateCaps/>
  <w:evenAndOddHeaders/>
  <w:drawingGridHorizontalSpacing w:val="158"/>
  <w:drawingGridVerticalSpacing w:val="296"/>
  <w:noPunctuationKerning/>
  <w:characterSpacingControl w:val="compressPunctuation"/>
  <w:noLineBreaksAfter w:lang="zh-CN" w:val="$([{£¥·‘“〈《「『【〔〖〝﹙﹛﹝＄（．［｛￡￥"/>
  <w:noLineBreaksBefore w:lang="zh-CN" w:val="!%),.:;&gt;?]}¢¨°·ˇˉ―‖’”…‰′″›℃∶、。〃〉》」』】〕〗〞︶︺︾﹀﹄﹚﹜﹞！＂％＇），．：；？］｀｜｝～￠"/>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MmY3NzMxNTdjNzFlOTRlY2VkYzk4MWY0OGYxNTZkMTcifQ=="/>
  </w:docVars>
  <w:rsids>
    <w:rsidRoot w:val="008A2195"/>
    <w:rsid w:val="00064FBC"/>
    <w:rsid w:val="000B1179"/>
    <w:rsid w:val="002C26EF"/>
    <w:rsid w:val="002E117A"/>
    <w:rsid w:val="00390EE5"/>
    <w:rsid w:val="004000F0"/>
    <w:rsid w:val="007A5A2C"/>
    <w:rsid w:val="008A2195"/>
    <w:rsid w:val="0F604D8D"/>
    <w:rsid w:val="16A62A26"/>
    <w:rsid w:val="18BC46FB"/>
    <w:rsid w:val="1EBC7EFE"/>
    <w:rsid w:val="20FE1431"/>
    <w:rsid w:val="288A6B38"/>
    <w:rsid w:val="33FD1A2F"/>
    <w:rsid w:val="363F3915"/>
    <w:rsid w:val="3C140A34"/>
    <w:rsid w:val="3DB9442C"/>
    <w:rsid w:val="43DC0F9B"/>
    <w:rsid w:val="4EAF2BF8"/>
    <w:rsid w:val="54A7115E"/>
    <w:rsid w:val="562E5CFE"/>
    <w:rsid w:val="56660D56"/>
    <w:rsid w:val="592D6D4E"/>
    <w:rsid w:val="5A993BCD"/>
    <w:rsid w:val="66F56009"/>
    <w:rsid w:val="671834E2"/>
    <w:rsid w:val="67237FBD"/>
    <w:rsid w:val="72452C9E"/>
    <w:rsid w:val="74AA4E5D"/>
    <w:rsid w:val="7F7363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7E69D0B2"/>
  <w15:docId w15:val="{AF4B49B1-7F47-4496-9285-C9F3140DB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仿宋_GB2312" w:hAnsi="Calibri" w:cs="Calibri"/>
      <w:kern w:val="2"/>
      <w:sz w:val="32"/>
      <w:szCs w:val="21"/>
    </w:rPr>
  </w:style>
  <w:style w:type="paragraph" w:styleId="1">
    <w:name w:val="heading 1"/>
    <w:basedOn w:val="a"/>
    <w:next w:val="a"/>
    <w:qFormat/>
    <w:locked/>
    <w:pPr>
      <w:spacing w:beforeAutospacing="1" w:afterAutospacing="1"/>
      <w:jc w:val="left"/>
      <w:outlineLvl w:val="0"/>
    </w:pPr>
    <w:rPr>
      <w:rFonts w:ascii="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Date"/>
    <w:basedOn w:val="a"/>
    <w:next w:val="a"/>
    <w:link w:val="Char0"/>
    <w:uiPriority w:val="99"/>
    <w:semiHidden/>
    <w:qFormat/>
    <w:pPr>
      <w:ind w:leftChars="2500" w:left="100"/>
    </w:pPr>
  </w:style>
  <w:style w:type="paragraph" w:styleId="a5">
    <w:name w:val="Balloon Text"/>
    <w:basedOn w:val="a"/>
    <w:link w:val="Char1"/>
    <w:uiPriority w:val="99"/>
    <w:semiHidden/>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9">
    <w:name w:val="annotation subject"/>
    <w:basedOn w:val="a3"/>
    <w:next w:val="a3"/>
    <w:link w:val="Char4"/>
    <w:uiPriority w:val="99"/>
    <w:semiHidden/>
    <w:unhideWhenUsed/>
    <w:qFormat/>
    <w:rPr>
      <w:b/>
      <w:bCs/>
    </w:rPr>
  </w:style>
  <w:style w:type="table" w:styleId="aa">
    <w:name w:val="Table Grid"/>
    <w:basedOn w:val="a1"/>
    <w:uiPriority w:val="9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99"/>
    <w:qFormat/>
    <w:rPr>
      <w:b/>
      <w:bCs/>
    </w:rPr>
  </w:style>
  <w:style w:type="character" w:styleId="ac">
    <w:name w:val="page number"/>
    <w:basedOn w:val="a0"/>
    <w:qFormat/>
  </w:style>
  <w:style w:type="character" w:styleId="ad">
    <w:name w:val="Hyperlink"/>
    <w:uiPriority w:val="99"/>
    <w:semiHidden/>
    <w:qFormat/>
    <w:rPr>
      <w:color w:val="0000FF"/>
      <w:u w:val="single"/>
    </w:rPr>
  </w:style>
  <w:style w:type="character" w:styleId="ae">
    <w:name w:val="annotation reference"/>
    <w:basedOn w:val="a0"/>
    <w:uiPriority w:val="99"/>
    <w:semiHidden/>
    <w:unhideWhenUsed/>
    <w:qFormat/>
    <w:rPr>
      <w:sz w:val="21"/>
      <w:szCs w:val="21"/>
    </w:rPr>
  </w:style>
  <w:style w:type="character" w:customStyle="1" w:styleId="Char3">
    <w:name w:val="页眉 Char"/>
    <w:link w:val="a7"/>
    <w:uiPriority w:val="99"/>
    <w:qFormat/>
    <w:locked/>
    <w:rPr>
      <w:sz w:val="18"/>
      <w:szCs w:val="18"/>
    </w:rPr>
  </w:style>
  <w:style w:type="character" w:customStyle="1" w:styleId="Char2">
    <w:name w:val="页脚 Char"/>
    <w:link w:val="a6"/>
    <w:uiPriority w:val="99"/>
    <w:qFormat/>
    <w:locked/>
    <w:rPr>
      <w:sz w:val="18"/>
      <w:szCs w:val="18"/>
    </w:rPr>
  </w:style>
  <w:style w:type="paragraph" w:styleId="af">
    <w:name w:val="List Paragraph"/>
    <w:basedOn w:val="a"/>
    <w:uiPriority w:val="99"/>
    <w:qFormat/>
    <w:pPr>
      <w:ind w:firstLineChars="200" w:firstLine="420"/>
    </w:pPr>
  </w:style>
  <w:style w:type="character" w:customStyle="1" w:styleId="Char1">
    <w:name w:val="批注框文本 Char"/>
    <w:link w:val="a5"/>
    <w:uiPriority w:val="99"/>
    <w:semiHidden/>
    <w:qFormat/>
    <w:locked/>
    <w:rPr>
      <w:sz w:val="18"/>
      <w:szCs w:val="18"/>
    </w:rPr>
  </w:style>
  <w:style w:type="character" w:customStyle="1" w:styleId="Char0">
    <w:name w:val="日期 Char"/>
    <w:basedOn w:val="a0"/>
    <w:link w:val="a4"/>
    <w:uiPriority w:val="99"/>
    <w:semiHidden/>
    <w:qFormat/>
    <w:locked/>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Char5">
    <w:name w:val="Char"/>
    <w:basedOn w:val="a"/>
    <w:uiPriority w:val="99"/>
    <w:qFormat/>
    <w:pPr>
      <w:spacing w:before="100" w:beforeAutospacing="1" w:after="100" w:afterAutospacing="1"/>
    </w:pPr>
    <w:rPr>
      <w:rFonts w:ascii="Times New Roman" w:hAnsi="Times New Roman" w:cs="Times New Roman"/>
    </w:rPr>
  </w:style>
  <w:style w:type="table" w:customStyle="1" w:styleId="2">
    <w:name w:val="网格型2"/>
    <w:uiPriority w:val="99"/>
    <w:qFormat/>
    <w:pPr>
      <w:widowControl w:val="0"/>
      <w:jc w:val="both"/>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uiPriority w:val="99"/>
    <w:semiHidden/>
    <w:qFormat/>
    <w:rPr>
      <w:rFonts w:cs="Calibri"/>
      <w:kern w:val="2"/>
      <w:sz w:val="21"/>
      <w:szCs w:val="21"/>
    </w:rPr>
  </w:style>
  <w:style w:type="character" w:customStyle="1" w:styleId="Char4">
    <w:name w:val="批注主题 Char"/>
    <w:basedOn w:val="Char"/>
    <w:link w:val="a9"/>
    <w:uiPriority w:val="99"/>
    <w:semiHidden/>
    <w:qFormat/>
    <w:rPr>
      <w:rFonts w:cs="Calibri"/>
      <w:b/>
      <w:bCs/>
      <w:kern w:val="2"/>
      <w:sz w:val="21"/>
      <w:szCs w:val="21"/>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font21">
    <w:name w:val="font2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textRotate="1"/>
    <customShpInfo spid="_x0000_s3074" textRotate="1"/>
    <customShpInfo spid="_x0000_s3076" textRotate="1"/>
    <customShpInfo spid="_x0000_s307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1274</Words>
  <Characters>7265</Characters>
  <Application>Microsoft Office Word</Application>
  <DocSecurity>0</DocSecurity>
  <Lines>60</Lines>
  <Paragraphs>17</Paragraphs>
  <ScaleCrop>false</ScaleCrop>
  <Company>微软中国</Company>
  <LinksUpToDate>false</LinksUpToDate>
  <CharactersWithSpaces>8522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TOSHBIA</dc:creator>
  <cp:lastModifiedBy>微软用户</cp:lastModifiedBy>
  <cp:revision>5</cp:revision>
  <cp:lastPrinted>2022-07-07T00:35:00Z</cp:lastPrinted>
  <dcterms:created xsi:type="dcterms:W3CDTF">2022-07-07T03:05:00Z</dcterms:created>
  <dcterms:modified xsi:type="dcterms:W3CDTF">2023-01-06T07:37:00Z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EDAFCE33D0D345AFBF328C0BE645923B</vt:lpwstr>
  </property>
</Properties>
</file>